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60"/>
        <w:jc w:val="center"/>
      </w:pPr>
      <w:r>
        <w:rPr>
          <w:rFonts w:ascii="Aptos" w:hAnsi="Aptos"/>
          <w:b/>
          <w:color w:val="1F2937"/>
          <w:sz w:val="48"/>
        </w:rPr>
        <w:t>Modelo de Follow-up Comercial Pós-Evento</w:t>
      </w:r>
    </w:p>
    <w:p>
      <w:pPr>
        <w:spacing w:after="360"/>
        <w:jc w:val="center"/>
      </w:pPr>
      <w:r>
        <w:rPr>
          <w:rFonts w:ascii="Aptos" w:hAnsi="Aptos"/>
          <w:b w:val="0"/>
          <w:color w:val="4B5563"/>
          <w:sz w:val="24"/>
        </w:rPr>
        <w:t>Guia prático para transformar leads de feiras B2B em oportunidades comerciais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"/>
        <w:gridCol w:w="8640"/>
      </w:tblGrid>
      <w:tr>
        <w:tc>
          <w:tcPr>
            <w:tcW w:type="dxa" w:w="5184"/>
            <w:shd w:fill="4F46E5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type="dxa" w:w="5184"/>
            <w:shd w:fill="EEF2FF"/>
            <w:tcBorders>
              <w:top w:val="nil"/>
              <w:left w:val="nil"/>
              <w:bottom w:val="nil"/>
              <w:right w:val="nil"/>
            </w:tcBorders>
          </w:tcPr>
          <w:p>
            <w:r>
              <w:rPr>
                <w:rFonts w:ascii="Aptos" w:hAnsi="Aptos"/>
                <w:b/>
                <w:color w:val="111827"/>
                <w:sz w:val="21"/>
              </w:rPr>
              <w:t>Para uso do expositor</w:t>
            </w:r>
          </w:p>
          <w:p>
            <w:pPr>
              <w:spacing w:after="40"/>
            </w:pPr>
            <w:r>
              <w:rPr>
                <w:rFonts w:ascii="Aptos" w:hAnsi="Aptos"/>
                <w:color w:val="374151"/>
                <w:sz w:val="19"/>
              </w:rPr>
              <w:t>Modelo editável para qualquer evento da Fiera Milano Brasil. Preencha os campos, adapte os templates e use o material para organizar o pós-evento da sua equipe comercial.</w:t>
            </w:r>
          </w:p>
        </w:tc>
      </w:tr>
    </w:tbl>
    <w:p/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Evento: [nome do evento]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Empresa expositora: [nome da empresa]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Período do evento: [data]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Responsável pelo follow-up: [nome / área]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Data de preenchimento: [data]</w:t>
      </w:r>
    </w:p>
    <w:p>
      <w:pPr>
        <w:pStyle w:val="Heading1"/>
      </w:pPr>
      <w:r>
        <w:t>1. Como usar este modelo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Este material foi criado para ajudar empresas expositoras a organizar o pós-evento com mais velocidade, consistência e visão comercial. Use como guia interno para classificar leads, definir prioridades, distribuir responsabilidades, criar mensagens de follow-up e medir o retorno da participação.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Preencha os dados do evento, metas e responsáveis.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Classifique os leads captados em quentes, mornos, frios, clientes atuais e parceiros.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Defina prazos claros de contato para cada prioridade.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Adapte os modelos de e-mail, WhatsApp e LinkedIn ao perfil da sua empresa.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Acompanhe indicadores comerciais por pelo menos 30 dias após o evento.</w:t>
      </w:r>
    </w:p>
    <w:p>
      <w:pPr>
        <w:pStyle w:val="Heading1"/>
      </w:pPr>
      <w:r>
        <w:t>2. Objetivos do follow-up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O follow-up pós-evento não deve ser apenas um agradecimento. Ele deve dar continuidade às conversas iniciadas na feira e transformar contatos em oportunidades reais.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rPr>
          <w:tblHeader w:val="true"/>
        </w:trPr>
        <w:tc>
          <w:tcPr>
            <w:tcW w:type="dxa" w:w="2592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Objetivo</w:t>
            </w:r>
          </w:p>
        </w:tc>
        <w:tc>
          <w:tcPr>
            <w:tcW w:type="dxa" w:w="432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Como aplicar</w:t>
            </w:r>
          </w:p>
        </w:tc>
        <w:tc>
          <w:tcPr>
            <w:tcW w:type="dxa" w:w="2592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Indicador sugerido</w:t>
            </w:r>
          </w:p>
        </w:tc>
      </w:tr>
      <w:tr>
        <w:tc>
          <w:tcPr>
            <w:tcW w:type="dxa" w:w="25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Responder rapidamente aos leads prioritários</w:t>
            </w:r>
          </w:p>
        </w:tc>
        <w:tc>
          <w:tcPr>
            <w:tcW w:type="dxa" w:w="432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Contatar leads quentes em até 24 a 72 horas</w:t>
            </w:r>
          </w:p>
        </w:tc>
        <w:tc>
          <w:tcPr>
            <w:tcW w:type="dxa" w:w="25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% de leads quentes contatados no prazo</w:t>
            </w:r>
          </w:p>
        </w:tc>
      </w:tr>
      <w:tr>
        <w:tc>
          <w:tcPr>
            <w:tcW w:type="dxa" w:w="25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Personalizar a abordagem comercial</w:t>
            </w:r>
          </w:p>
        </w:tc>
        <w:tc>
          <w:tcPr>
            <w:tcW w:type="dxa" w:w="432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Usar produto de interesse, necessidade e observações registradas no estande</w:t>
            </w:r>
          </w:p>
        </w:tc>
        <w:tc>
          <w:tcPr>
            <w:tcW w:type="dxa" w:w="25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Taxa de resposta</w:t>
            </w:r>
          </w:p>
        </w:tc>
      </w:tr>
      <w:tr>
        <w:tc>
          <w:tcPr>
            <w:tcW w:type="dxa" w:w="25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Gerar reuniões pós-evento</w:t>
            </w:r>
          </w:p>
        </w:tc>
        <w:tc>
          <w:tcPr>
            <w:tcW w:type="dxa" w:w="432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Oferecer reunião técnica, demonstração ou diagnóstico</w:t>
            </w:r>
          </w:p>
        </w:tc>
        <w:tc>
          <w:tcPr>
            <w:tcW w:type="dxa" w:w="25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Reuniões agendadas</w:t>
            </w:r>
          </w:p>
        </w:tc>
      </w:tr>
      <w:tr>
        <w:tc>
          <w:tcPr>
            <w:tcW w:type="dxa" w:w="25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Avançar oportunidades</w:t>
            </w:r>
          </w:p>
        </w:tc>
        <w:tc>
          <w:tcPr>
            <w:tcW w:type="dxa" w:w="432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Registrar leads no CRM e acompanhar etapas do funil</w:t>
            </w:r>
          </w:p>
        </w:tc>
        <w:tc>
          <w:tcPr>
            <w:tcW w:type="dxa" w:w="25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Oportunidades abertas</w:t>
            </w:r>
          </w:p>
        </w:tc>
      </w:tr>
      <w:tr>
        <w:tc>
          <w:tcPr>
            <w:tcW w:type="dxa" w:w="25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Medir retorno da feira</w:t>
            </w:r>
          </w:p>
        </w:tc>
        <w:tc>
          <w:tcPr>
            <w:tcW w:type="dxa" w:w="432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Comparar leads, propostas, pipeline e vendas com o investimento</w:t>
            </w:r>
          </w:p>
        </w:tc>
        <w:tc>
          <w:tcPr>
            <w:tcW w:type="dxa" w:w="25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Pipeline e ROI potencial</w:t>
            </w:r>
          </w:p>
        </w:tc>
      </w:tr>
    </w:tbl>
    <w:p/>
    <w:p>
      <w:pPr>
        <w:pStyle w:val="Heading1"/>
      </w:pPr>
      <w:r>
        <w:t>3. Classificação dos leads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Antes de iniciar os contatos, organize os leads conforme prioridade comercial. Essa etapa evita abordagens genéricas e ajuda a equipe a concentrar energia nos contatos com maior potencial.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rPr>
          <w:tblHeader w:val="true"/>
        </w:trPr>
        <w:tc>
          <w:tcPr>
            <w:tcW w:type="dxa" w:w="1584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Classificação</w:t>
            </w:r>
          </w:p>
        </w:tc>
        <w:tc>
          <w:tcPr>
            <w:tcW w:type="dxa" w:w="3888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Critério</w:t>
            </w:r>
          </w:p>
        </w:tc>
        <w:tc>
          <w:tcPr>
            <w:tcW w:type="dxa" w:w="144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Prazo ideal</w:t>
            </w:r>
          </w:p>
        </w:tc>
        <w:tc>
          <w:tcPr>
            <w:tcW w:type="dxa" w:w="3168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Ação recomendada</w:t>
            </w:r>
          </w:p>
        </w:tc>
      </w:tr>
      <w:tr>
        <w:tc>
          <w:tcPr>
            <w:tcW w:type="dxa" w:w="15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 quente</w:t>
            </w:r>
          </w:p>
        </w:tc>
        <w:tc>
          <w:tcPr>
            <w:tcW w:type="dxa" w:w="388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Perfil aderente, interesse claro, necessidade identificada e influência na decisão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24 a 72 horas</w:t>
            </w:r>
          </w:p>
        </w:tc>
        <w:tc>
          <w:tcPr>
            <w:tcW w:type="dxa" w:w="316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Contato personalizado, proposta de reunião ou envio de proposta</w:t>
            </w:r>
          </w:p>
        </w:tc>
      </w:tr>
      <w:tr>
        <w:tc>
          <w:tcPr>
            <w:tcW w:type="dxa" w:w="1584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 morno</w:t>
            </w:r>
          </w:p>
        </w:tc>
        <w:tc>
          <w:tcPr>
            <w:tcW w:type="dxa" w:w="388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Interesse real, mas ainda sem prazo, orçamento ou decisão clara</w:t>
            </w:r>
          </w:p>
        </w:tc>
        <w:tc>
          <w:tcPr>
            <w:tcW w:type="dxa" w:w="144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Até 7 dias</w:t>
            </w:r>
          </w:p>
        </w:tc>
        <w:tc>
          <w:tcPr>
            <w:tcW w:type="dxa" w:w="316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Enviar material, oferecer conversa e incluir em nutrição</w:t>
            </w:r>
          </w:p>
        </w:tc>
      </w:tr>
      <w:tr>
        <w:tc>
          <w:tcPr>
            <w:tcW w:type="dxa" w:w="15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 frio</w:t>
            </w:r>
          </w:p>
        </w:tc>
        <w:tc>
          <w:tcPr>
            <w:tcW w:type="dxa" w:w="388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Baixa aderência no momento ou interesse mais institucional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Até 15 dias</w:t>
            </w:r>
          </w:p>
        </w:tc>
        <w:tc>
          <w:tcPr>
            <w:tcW w:type="dxa" w:w="316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Enviar agradecimento e incluir em comunicação futura</w:t>
            </w:r>
          </w:p>
        </w:tc>
      </w:tr>
      <w:tr>
        <w:tc>
          <w:tcPr>
            <w:tcW w:type="dxa" w:w="1584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Cliente atual</w:t>
            </w:r>
          </w:p>
        </w:tc>
        <w:tc>
          <w:tcPr>
            <w:tcW w:type="dxa" w:w="388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Cliente que visitou o estande ou conversou sobre novas soluções</w:t>
            </w:r>
          </w:p>
        </w:tc>
        <w:tc>
          <w:tcPr>
            <w:tcW w:type="dxa" w:w="144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Até 7 dias</w:t>
            </w:r>
          </w:p>
        </w:tc>
        <w:tc>
          <w:tcPr>
            <w:tcW w:type="dxa" w:w="316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Agradecer, registrar demandas e acionar gerente responsável</w:t>
            </w:r>
          </w:p>
        </w:tc>
      </w:tr>
      <w:tr>
        <w:tc>
          <w:tcPr>
            <w:tcW w:type="dxa" w:w="15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Parceiro / canal</w:t>
            </w:r>
          </w:p>
        </w:tc>
        <w:tc>
          <w:tcPr>
            <w:tcW w:type="dxa" w:w="388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Contato com potencial de parceria, distribuição ou projeto conjunto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Até 10 dias</w:t>
            </w:r>
          </w:p>
        </w:tc>
        <w:tc>
          <w:tcPr>
            <w:tcW w:type="dxa" w:w="316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Agendar conversa específica de parceria</w:t>
            </w:r>
          </w:p>
        </w:tc>
      </w:tr>
    </w:tbl>
    <w:p/>
    <w:p>
      <w:pPr>
        <w:pStyle w:val="Heading1"/>
      </w:pPr>
      <w:r>
        <w:t>4. Cronograma recomendado de follow-up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A velocidade do contato é um dos fatores mais importantes do pós-evento. Quanto mais rápido e contextualizado for o retorno, maior a chance de o visitante lembrar da conversa e avançar no relacionamento.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rPr>
          <w:tblHeader w:val="true"/>
        </w:trPr>
        <w:tc>
          <w:tcPr>
            <w:tcW w:type="dxa" w:w="2016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Período</w:t>
            </w:r>
          </w:p>
        </w:tc>
        <w:tc>
          <w:tcPr>
            <w:tcW w:type="dxa" w:w="216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Prioridade</w:t>
            </w:r>
          </w:p>
        </w:tc>
        <w:tc>
          <w:tcPr>
            <w:tcW w:type="dxa" w:w="6048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Ações</w:t>
            </w:r>
          </w:p>
        </w:tc>
      </w:tr>
      <w:tr>
        <w:tc>
          <w:tcPr>
            <w:tcW w:type="dxa" w:w="201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Até 24h após o evento</w:t>
            </w:r>
          </w:p>
        </w:tc>
        <w:tc>
          <w:tcPr>
            <w:tcW w:type="dxa" w:w="216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Organização interna</w:t>
            </w:r>
          </w:p>
        </w:tc>
        <w:tc>
          <w:tcPr>
            <w:tcW w:type="dxa" w:w="604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Exportar leads, remover duplicidades, separar por responsável e validar informações essenciais.</w:t>
            </w:r>
          </w:p>
        </w:tc>
      </w:tr>
      <w:tr>
        <w:tc>
          <w:tcPr>
            <w:tcW w:type="dxa" w:w="2016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24 a 72h</w:t>
            </w:r>
          </w:p>
        </w:tc>
        <w:tc>
          <w:tcPr>
            <w:tcW w:type="dxa" w:w="216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quentes</w:t>
            </w:r>
          </w:p>
        </w:tc>
        <w:tc>
          <w:tcPr>
            <w:tcW w:type="dxa" w:w="604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Enviar mensagem personalizada, propor reunião e registrar oportunidade no CRM.</w:t>
            </w:r>
          </w:p>
        </w:tc>
      </w:tr>
      <w:tr>
        <w:tc>
          <w:tcPr>
            <w:tcW w:type="dxa" w:w="201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Até 7 dias</w:t>
            </w:r>
          </w:p>
        </w:tc>
        <w:tc>
          <w:tcPr>
            <w:tcW w:type="dxa" w:w="216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mornos e clientes atuais</w:t>
            </w:r>
          </w:p>
        </w:tc>
        <w:tc>
          <w:tcPr>
            <w:tcW w:type="dxa" w:w="604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Enviar materiais específicos, agradecer a visita e tentar agendar conversa.</w:t>
            </w:r>
          </w:p>
        </w:tc>
      </w:tr>
      <w:tr>
        <w:tc>
          <w:tcPr>
            <w:tcW w:type="dxa" w:w="2016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Até 15 dias</w:t>
            </w:r>
          </w:p>
        </w:tc>
        <w:tc>
          <w:tcPr>
            <w:tcW w:type="dxa" w:w="216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frios e relacionamento</w:t>
            </w:r>
          </w:p>
        </w:tc>
        <w:tc>
          <w:tcPr>
            <w:tcW w:type="dxa" w:w="604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Enviar conteúdo educativo e incluir em régua de nutrição.</w:t>
            </w:r>
          </w:p>
        </w:tc>
      </w:tr>
      <w:tr>
        <w:tc>
          <w:tcPr>
            <w:tcW w:type="dxa" w:w="201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Até 30 dias</w:t>
            </w:r>
          </w:p>
        </w:tc>
        <w:tc>
          <w:tcPr>
            <w:tcW w:type="dxa" w:w="216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Medição e evolução comercial</w:t>
            </w:r>
          </w:p>
        </w:tc>
        <w:tc>
          <w:tcPr>
            <w:tcW w:type="dxa" w:w="604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Atualizar status, medir propostas, pipeline, reuniões e aprendizados.</w:t>
            </w:r>
          </w:p>
        </w:tc>
      </w:tr>
    </w:tbl>
    <w:p/>
    <w:p>
      <w:pPr>
        <w:pStyle w:val="Heading1"/>
      </w:pPr>
      <w:r>
        <w:t>5. Checklist pós-evento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Exportar todos os leads captados no coletor de dados.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Conferir informações incompletas e corrigir registros quando possível.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Separar leads por classificação: quente, morno, frio, cliente atual e parceiro.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Distribuir os leads entre os responsáveis comerciais.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Registrar os leads prioritários no CRM ou planilha comercial.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Preparar mensagens personalizadas por perfil de contato.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Enviar follow-up dos leads quentes em até 72 horas.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Registrar respostas, reuniões, propostas e próximos passos.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Criar uma régua de nutrição para leads ainda não prontos para compra.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Preparar relatório executivo com resultados e aprendizados.</w:t>
      </w:r>
    </w:p>
    <w:p>
      <w:pPr>
        <w:pStyle w:val="Heading1"/>
      </w:pPr>
      <w:r>
        <w:t>6. Modelo de controle de follow-up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Use a tabela abaixo como base para controlar cada contato. O ideal é manter esse acompanhamento em CRM ou planilha compartilhada com a equipe.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296"/>
        <w:gridCol w:w="1296"/>
        <w:gridCol w:w="1296"/>
        <w:gridCol w:w="1296"/>
        <w:gridCol w:w="1296"/>
        <w:gridCol w:w="1296"/>
        <w:gridCol w:w="1296"/>
        <w:gridCol w:w="1296"/>
      </w:tblGrid>
      <w:tr>
        <w:trPr>
          <w:tblHeader w:val="true"/>
        </w:trPr>
        <w:tc>
          <w:tcPr>
            <w:tcW w:type="dxa" w:w="144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Empresa</w:t>
            </w:r>
          </w:p>
        </w:tc>
        <w:tc>
          <w:tcPr>
            <w:tcW w:type="dxa" w:w="144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Contato</w:t>
            </w:r>
          </w:p>
        </w:tc>
        <w:tc>
          <w:tcPr>
            <w:tcW w:type="dxa" w:w="144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Classificação</w:t>
            </w:r>
          </w:p>
        </w:tc>
        <w:tc>
          <w:tcPr>
            <w:tcW w:type="dxa" w:w="1728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Interesse</w:t>
            </w:r>
          </w:p>
        </w:tc>
        <w:tc>
          <w:tcPr>
            <w:tcW w:type="dxa" w:w="144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Responsável</w:t>
            </w:r>
          </w:p>
        </w:tc>
        <w:tc>
          <w:tcPr>
            <w:tcW w:type="dxa" w:w="1296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1º contato</w:t>
            </w:r>
          </w:p>
        </w:tc>
        <w:tc>
          <w:tcPr>
            <w:tcW w:type="dxa" w:w="144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Status</w:t>
            </w:r>
          </w:p>
        </w:tc>
        <w:tc>
          <w:tcPr>
            <w:tcW w:type="dxa" w:w="1872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4"/>
              </w:rPr>
              <w:t>Próximo passo</w:t>
            </w:r>
          </w:p>
        </w:tc>
      </w:tr>
      <w:tr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[empresa]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[nome]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[quente/morno/frio]</w:t>
            </w:r>
          </w:p>
        </w:tc>
        <w:tc>
          <w:tcPr>
            <w:tcW w:type="dxa" w:w="172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[produto/solução]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[responsável]</w:t>
            </w:r>
          </w:p>
        </w:tc>
        <w:tc>
          <w:tcPr>
            <w:tcW w:type="dxa" w:w="129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[data]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[em contato]</w:t>
            </w:r>
          </w:p>
        </w:tc>
        <w:tc>
          <w:tcPr>
            <w:tcW w:type="dxa" w:w="187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[reunião/proposta/nutrição]</w:t>
            </w:r>
          </w:p>
        </w:tc>
      </w:tr>
      <w:tr>
        <w:tc>
          <w:tcPr>
            <w:tcW w:type="dxa" w:w="144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[empresa]</w:t>
            </w:r>
          </w:p>
        </w:tc>
        <w:tc>
          <w:tcPr>
            <w:tcW w:type="dxa" w:w="144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[nome]</w:t>
            </w:r>
          </w:p>
        </w:tc>
        <w:tc>
          <w:tcPr>
            <w:tcW w:type="dxa" w:w="144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[quente/morno/frio]</w:t>
            </w:r>
          </w:p>
        </w:tc>
        <w:tc>
          <w:tcPr>
            <w:tcW w:type="dxa" w:w="172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[produto/solução]</w:t>
            </w:r>
          </w:p>
        </w:tc>
        <w:tc>
          <w:tcPr>
            <w:tcW w:type="dxa" w:w="144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[responsável]</w:t>
            </w:r>
          </w:p>
        </w:tc>
        <w:tc>
          <w:tcPr>
            <w:tcW w:type="dxa" w:w="1296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[data]</w:t>
            </w:r>
          </w:p>
        </w:tc>
        <w:tc>
          <w:tcPr>
            <w:tcW w:type="dxa" w:w="144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[em negociação]</w:t>
            </w:r>
          </w:p>
        </w:tc>
        <w:tc>
          <w:tcPr>
            <w:tcW w:type="dxa" w:w="187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[enviar proposta]</w:t>
            </w:r>
          </w:p>
        </w:tc>
      </w:tr>
      <w:tr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[empresa]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[nome]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[cliente/parceiro]</w:t>
            </w:r>
          </w:p>
        </w:tc>
        <w:tc>
          <w:tcPr>
            <w:tcW w:type="dxa" w:w="172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[interesse]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[responsável]</w:t>
            </w:r>
          </w:p>
        </w:tc>
        <w:tc>
          <w:tcPr>
            <w:tcW w:type="dxa" w:w="129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[data]</w:t>
            </w:r>
          </w:p>
        </w:tc>
        <w:tc>
          <w:tcPr>
            <w:tcW w:type="dxa" w:w="144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[aguardando retorno]</w:t>
            </w:r>
          </w:p>
        </w:tc>
        <w:tc>
          <w:tcPr>
            <w:tcW w:type="dxa" w:w="187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4"/>
              </w:rPr>
              <w:t>[ligar em X dias]</w:t>
            </w:r>
          </w:p>
        </w:tc>
      </w:tr>
    </w:tbl>
    <w:p/>
    <w:p>
      <w:pPr>
        <w:pStyle w:val="Heading1"/>
      </w:pPr>
      <w:r>
        <w:t>7. Modelos de mensagens para follow-up</w:t>
      </w:r>
    </w:p>
    <w:p>
      <w:pPr>
        <w:pStyle w:val="Heading2"/>
      </w:pPr>
      <w:r>
        <w:t>7.1 E-mail para lead quente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"/>
        <w:gridCol w:w="8640"/>
      </w:tblGrid>
      <w:tr>
        <w:tc>
          <w:tcPr>
            <w:tcW w:type="dxa" w:w="5184"/>
            <w:shd w:fill="EF4444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type="dxa" w:w="5184"/>
            <w:shd w:fill="F9FAFB"/>
            <w:tcBorders>
              <w:top w:val="nil"/>
              <w:left w:val="nil"/>
              <w:bottom w:val="nil"/>
              <w:right w:val="nil"/>
            </w:tcBorders>
          </w:tcPr>
          <w:p>
            <w:r>
              <w:rPr>
                <w:rFonts w:ascii="Aptos" w:hAnsi="Aptos"/>
                <w:b/>
                <w:color w:val="111827"/>
                <w:sz w:val="21"/>
              </w:rPr>
              <w:t>Assunto sugerido</w:t>
            </w:r>
          </w:p>
          <w:p>
            <w:pPr>
              <w:spacing w:after="40"/>
            </w:pPr>
            <w:r>
              <w:rPr>
                <w:rFonts w:ascii="Aptos" w:hAnsi="Aptos"/>
                <w:color w:val="374151"/>
                <w:sz w:val="19"/>
              </w:rPr>
              <w:t>[Nome], vamos avançar com a solução apresentada no evento?</w:t>
            </w:r>
          </w:p>
        </w:tc>
      </w:tr>
    </w:tbl>
    <w:p/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Olá, [Nome], tudo bem?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Foi um prazer receber você no estande da [empresa] durante a [nome do evento]. Conversamos sobre [produto/solução/interesse] e sobre o desafio de [necessidade identificada].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Acredito que podemos ajudar sua empresa com [benefício principal]. Podemos agendar uma conversa rápida nos próximos dias para aprofundar a necessidade e apresentar os próximos passos?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Segue também [material/catálogo/apresentação] para apoiar sua avaliação.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Fico à disposição.</w:t>
        <w:br/>
        <w:t>[assinatura]</w:t>
      </w:r>
    </w:p>
    <w:p>
      <w:pPr>
        <w:pStyle w:val="Heading2"/>
      </w:pPr>
      <w:r>
        <w:t>7.2 E-mail para lead morno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16"/>
        <w:gridCol w:w="8640"/>
      </w:tblGrid>
      <w:tr>
        <w:tc>
          <w:tcPr>
            <w:tcW w:type="dxa" w:w="5184"/>
            <w:shd w:fill="F59E0B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type="dxa" w:w="5184"/>
            <w:shd w:fill="F9FAFB"/>
            <w:tcBorders>
              <w:top w:val="nil"/>
              <w:left w:val="nil"/>
              <w:bottom w:val="nil"/>
              <w:right w:val="nil"/>
            </w:tcBorders>
          </w:tcPr>
          <w:p>
            <w:r>
              <w:rPr>
                <w:rFonts w:ascii="Aptos" w:hAnsi="Aptos"/>
                <w:b/>
                <w:color w:val="111827"/>
                <w:sz w:val="21"/>
              </w:rPr>
              <w:t>Assunto sugerido</w:t>
            </w:r>
          </w:p>
          <w:p>
            <w:pPr>
              <w:spacing w:after="40"/>
            </w:pPr>
            <w:r>
              <w:rPr>
                <w:rFonts w:ascii="Aptos" w:hAnsi="Aptos"/>
                <w:color w:val="374151"/>
                <w:sz w:val="19"/>
              </w:rPr>
              <w:t>Obrigado pela visita ao nosso estande na [nome do evento]</w:t>
            </w:r>
          </w:p>
        </w:tc>
      </w:tr>
    </w:tbl>
    <w:p/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Olá, [Nome], tudo bem?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Obrigado por visitar o estande da [empresa] na [nome do evento]. Foi ótimo conversar sobre [tema/produto de interesse].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Envio em anexo algumas informações que podem ajudar você a conhecer melhor nossas soluções. Quando fizer sentido, podemos agendar uma conversa para entender melhor seus projetos e avaliar como podemos apoiar sua empresa.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Conte conosco.</w:t>
        <w:br/>
        <w:t>[assinatura]</w:t>
      </w:r>
    </w:p>
    <w:p>
      <w:pPr>
        <w:pStyle w:val="Heading2"/>
      </w:pPr>
      <w:r>
        <w:t>7.3 WhatsApp para contato prioritário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Olá, [Nome], tudo bem? Aqui é [seu nome], da [empresa]. Conversamos na [nome do evento] sobre [produto/solução]. Gostaria de retomar esse contato e entender se podemos agendar uma conversa rápida para avançar nos próximos passos. Qual melhor dia para você?</w:t>
      </w:r>
    </w:p>
    <w:p>
      <w:pPr>
        <w:pStyle w:val="Heading2"/>
      </w:pPr>
      <w:r>
        <w:t>7.4 LinkedIn para relacionamento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Olá, [Nome]. Foi um prazer conversar com você na [nome do evento]. Gostaria de mantermos contato por aqui também. Na ocasião, falamos sobre [tema/interesse], e acredito que podemos trocar boas ideias sobre esse assunto.</w:t>
      </w:r>
    </w:p>
    <w:p>
      <w:pPr>
        <w:pStyle w:val="Heading1"/>
      </w:pPr>
      <w:r>
        <w:t>8. Régua simples de pós-evento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92"/>
        <w:gridCol w:w="2592"/>
        <w:gridCol w:w="2592"/>
        <w:gridCol w:w="2592"/>
      </w:tblGrid>
      <w:tr>
        <w:trPr>
          <w:tblHeader w:val="true"/>
        </w:trPr>
        <w:tc>
          <w:tcPr>
            <w:tcW w:type="dxa" w:w="1584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Etapa</w:t>
            </w:r>
          </w:p>
        </w:tc>
        <w:tc>
          <w:tcPr>
            <w:tcW w:type="dxa" w:w="1728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Canal</w:t>
            </w:r>
          </w:p>
        </w:tc>
        <w:tc>
          <w:tcPr>
            <w:tcW w:type="dxa" w:w="432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Mensagem</w:t>
            </w:r>
          </w:p>
        </w:tc>
        <w:tc>
          <w:tcPr>
            <w:tcW w:type="dxa" w:w="288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Objetivo</w:t>
            </w:r>
          </w:p>
        </w:tc>
      </w:tr>
      <w:tr>
        <w:tc>
          <w:tcPr>
            <w:tcW w:type="dxa" w:w="15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D+1 a D+3</w:t>
            </w:r>
          </w:p>
        </w:tc>
        <w:tc>
          <w:tcPr>
            <w:tcW w:type="dxa" w:w="172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E-mail / WhatsApp</w:t>
            </w:r>
          </w:p>
        </w:tc>
        <w:tc>
          <w:tcPr>
            <w:tcW w:type="dxa" w:w="432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Mensagem personalizada para leads quentes</w:t>
            </w:r>
          </w:p>
        </w:tc>
        <w:tc>
          <w:tcPr>
            <w:tcW w:type="dxa" w:w="288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Agendar reunião ou avançar proposta</w:t>
            </w:r>
          </w:p>
        </w:tc>
      </w:tr>
      <w:tr>
        <w:tc>
          <w:tcPr>
            <w:tcW w:type="dxa" w:w="1584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D+7</w:t>
            </w:r>
          </w:p>
        </w:tc>
        <w:tc>
          <w:tcPr>
            <w:tcW w:type="dxa" w:w="172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E-mail</w:t>
            </w:r>
          </w:p>
        </w:tc>
        <w:tc>
          <w:tcPr>
            <w:tcW w:type="dxa" w:w="432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Envio de material técnico ou catálogo</w:t>
            </w:r>
          </w:p>
        </w:tc>
        <w:tc>
          <w:tcPr>
            <w:tcW w:type="dxa" w:w="288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Nutrir interesse e gerar resposta</w:t>
            </w:r>
          </w:p>
        </w:tc>
      </w:tr>
      <w:tr>
        <w:tc>
          <w:tcPr>
            <w:tcW w:type="dxa" w:w="15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D+15</w:t>
            </w:r>
          </w:p>
        </w:tc>
        <w:tc>
          <w:tcPr>
            <w:tcW w:type="dxa" w:w="172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Telefone / LinkedIn</w:t>
            </w:r>
          </w:p>
        </w:tc>
        <w:tc>
          <w:tcPr>
            <w:tcW w:type="dxa" w:w="432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Retomada de contatos sem resposta</w:t>
            </w:r>
          </w:p>
        </w:tc>
        <w:tc>
          <w:tcPr>
            <w:tcW w:type="dxa" w:w="288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Reativar oportunidade</w:t>
            </w:r>
          </w:p>
        </w:tc>
      </w:tr>
      <w:tr>
        <w:tc>
          <w:tcPr>
            <w:tcW w:type="dxa" w:w="1584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D+30</w:t>
            </w:r>
          </w:p>
        </w:tc>
        <w:tc>
          <w:tcPr>
            <w:tcW w:type="dxa" w:w="1728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E-mail</w:t>
            </w:r>
          </w:p>
        </w:tc>
        <w:tc>
          <w:tcPr>
            <w:tcW w:type="dxa" w:w="432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Conteúdo educativo ou convite para demonstração</w:t>
            </w:r>
          </w:p>
        </w:tc>
        <w:tc>
          <w:tcPr>
            <w:tcW w:type="dxa" w:w="288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Manter relacionamento</w:t>
            </w:r>
          </w:p>
        </w:tc>
      </w:tr>
      <w:tr>
        <w:tc>
          <w:tcPr>
            <w:tcW w:type="dxa" w:w="15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D+45</w:t>
            </w:r>
          </w:p>
        </w:tc>
        <w:tc>
          <w:tcPr>
            <w:tcW w:type="dxa" w:w="1728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Comercial / CRM</w:t>
            </w:r>
          </w:p>
        </w:tc>
        <w:tc>
          <w:tcPr>
            <w:tcW w:type="dxa" w:w="432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Revisão de pipeline e relatório</w:t>
            </w:r>
          </w:p>
        </w:tc>
        <w:tc>
          <w:tcPr>
            <w:tcW w:type="dxa" w:w="288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Medir resultados e próximos passos</w:t>
            </w:r>
          </w:p>
        </w:tc>
      </w:tr>
    </w:tbl>
    <w:p/>
    <w:p>
      <w:pPr>
        <w:pStyle w:val="Heading1"/>
      </w:pPr>
      <w:r>
        <w:t>9. Indicadores de resultado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56"/>
        <w:gridCol w:w="3456"/>
        <w:gridCol w:w="3456"/>
      </w:tblGrid>
      <w:tr>
        <w:trPr>
          <w:tblHeader w:val="true"/>
        </w:trPr>
        <w:tc>
          <w:tcPr>
            <w:tcW w:type="dxa" w:w="288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Indicador</w:t>
            </w:r>
          </w:p>
        </w:tc>
        <w:tc>
          <w:tcPr>
            <w:tcW w:type="dxa" w:w="5184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Como calcular</w:t>
            </w:r>
          </w:p>
        </w:tc>
        <w:tc>
          <w:tcPr>
            <w:tcW w:type="dxa" w:w="2160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Meta / Resultado</w:t>
            </w:r>
          </w:p>
        </w:tc>
      </w:tr>
      <w:tr>
        <w:tc>
          <w:tcPr>
            <w:tcW w:type="dxa" w:w="288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captados</w:t>
            </w:r>
          </w:p>
        </w:tc>
        <w:tc>
          <w:tcPr>
            <w:tcW w:type="dxa" w:w="51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Total de contatos registrados no evento</w:t>
            </w:r>
          </w:p>
        </w:tc>
        <w:tc>
          <w:tcPr>
            <w:tcW w:type="dxa" w:w="216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qualificados</w:t>
            </w:r>
          </w:p>
        </w:tc>
        <w:tc>
          <w:tcPr>
            <w:tcW w:type="dxa" w:w="5184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Total de leads quentes + mornos</w:t>
            </w:r>
          </w:p>
        </w:tc>
        <w:tc>
          <w:tcPr>
            <w:tcW w:type="dxa" w:w="216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[preencher]</w:t>
            </w:r>
          </w:p>
        </w:tc>
      </w:tr>
      <w:tr>
        <w:tc>
          <w:tcPr>
            <w:tcW w:type="dxa" w:w="288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Taxa de qualificação</w:t>
            </w:r>
          </w:p>
        </w:tc>
        <w:tc>
          <w:tcPr>
            <w:tcW w:type="dxa" w:w="51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qualificados / leads totais</w:t>
            </w:r>
          </w:p>
        </w:tc>
        <w:tc>
          <w:tcPr>
            <w:tcW w:type="dxa" w:w="216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Follow-up em até 72h</w:t>
            </w:r>
          </w:p>
        </w:tc>
        <w:tc>
          <w:tcPr>
            <w:tcW w:type="dxa" w:w="5184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quentes contatados no prazo / leads quentes totais</w:t>
            </w:r>
          </w:p>
        </w:tc>
        <w:tc>
          <w:tcPr>
            <w:tcW w:type="dxa" w:w="216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[preencher]</w:t>
            </w:r>
          </w:p>
        </w:tc>
      </w:tr>
      <w:tr>
        <w:tc>
          <w:tcPr>
            <w:tcW w:type="dxa" w:w="288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Reuniões agendadas</w:t>
            </w:r>
          </w:p>
        </w:tc>
        <w:tc>
          <w:tcPr>
            <w:tcW w:type="dxa" w:w="51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Total de reuniões marcadas após o evento</w:t>
            </w:r>
          </w:p>
        </w:tc>
        <w:tc>
          <w:tcPr>
            <w:tcW w:type="dxa" w:w="216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Propostas enviadas</w:t>
            </w:r>
          </w:p>
        </w:tc>
        <w:tc>
          <w:tcPr>
            <w:tcW w:type="dxa" w:w="5184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Total de propostas geradas a partir dos leads</w:t>
            </w:r>
          </w:p>
        </w:tc>
        <w:tc>
          <w:tcPr>
            <w:tcW w:type="dxa" w:w="216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[preencher]</w:t>
            </w:r>
          </w:p>
        </w:tc>
      </w:tr>
      <w:tr>
        <w:tc>
          <w:tcPr>
            <w:tcW w:type="dxa" w:w="288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Pipeline gerado</w:t>
            </w:r>
          </w:p>
        </w:tc>
        <w:tc>
          <w:tcPr>
            <w:tcW w:type="dxa" w:w="5184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Valor potencial das oportunidades abertas</w:t>
            </w:r>
          </w:p>
        </w:tc>
        <w:tc>
          <w:tcPr>
            <w:tcW w:type="dxa" w:w="2160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[preencher]</w:t>
            </w:r>
          </w:p>
        </w:tc>
      </w:tr>
      <w:tr>
        <w:tc>
          <w:tcPr>
            <w:tcW w:type="dxa" w:w="288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Vendas atribuídas ao evento</w:t>
            </w:r>
          </w:p>
        </w:tc>
        <w:tc>
          <w:tcPr>
            <w:tcW w:type="dxa" w:w="5184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Valor de vendas fechadas originadas na feira</w:t>
            </w:r>
          </w:p>
        </w:tc>
        <w:tc>
          <w:tcPr>
            <w:tcW w:type="dxa" w:w="2160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[preencher]</w:t>
            </w:r>
          </w:p>
        </w:tc>
      </w:tr>
    </w:tbl>
    <w:p/>
    <w:p>
      <w:pPr>
        <w:pStyle w:val="Heading1"/>
      </w:pPr>
      <w:r>
        <w:t>10. Relatório executivo pós-evento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Use este resumo para apresentar resultados internos e apoiar decisões sobre próximas participações.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84"/>
        <w:gridCol w:w="5184"/>
      </w:tblGrid>
      <w:tr>
        <w:trPr>
          <w:tblHeader w:val="true"/>
        </w:trPr>
        <w:tc>
          <w:tcPr>
            <w:tcW w:type="dxa" w:w="3456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Campo</w:t>
            </w:r>
          </w:p>
        </w:tc>
        <w:tc>
          <w:tcPr>
            <w:tcW w:type="dxa" w:w="6192"/>
            <w:shd w:fill="111827"/>
            <w:vAlign w:val="center"/>
            <w:tcBorders>
              <w:top w:val="single" w:sz="4" w:color="D1D5DB"/>
              <w:left w:val="single" w:sz="4" w:color="D1D5DB"/>
              <w:bottom w:val="single" w:sz="4" w:color="D1D5DB"/>
              <w:right w:val="single" w:sz="4" w:color="D1D5DB"/>
            </w:tcBorders>
          </w:tcPr>
          <w:p>
            <w:pPr>
              <w:jc w:val="center"/>
            </w:pPr>
            <w:r>
              <w:rPr>
                <w:rFonts w:ascii="Aptos" w:hAnsi="Aptos"/>
                <w:b/>
                <w:color w:val="FFFFFF"/>
                <w:sz w:val="17"/>
              </w:rPr>
              <w:t>Preenchimento</w:t>
            </w:r>
          </w:p>
        </w:tc>
      </w:tr>
      <w:tr>
        <w:tc>
          <w:tcPr>
            <w:tcW w:type="dxa" w:w="345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Evento</w:t>
            </w:r>
          </w:p>
        </w:tc>
        <w:tc>
          <w:tcPr>
            <w:tcW w:type="dxa" w:w="61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[nome do evento]</w:t>
            </w:r>
          </w:p>
        </w:tc>
      </w:tr>
      <w:tr>
        <w:tc>
          <w:tcPr>
            <w:tcW w:type="dxa" w:w="3456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Investimento total</w:t>
            </w:r>
          </w:p>
        </w:tc>
        <w:tc>
          <w:tcPr>
            <w:tcW w:type="dxa" w:w="61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[valor]</w:t>
            </w:r>
          </w:p>
        </w:tc>
      </w:tr>
      <w:tr>
        <w:tc>
          <w:tcPr>
            <w:tcW w:type="dxa" w:w="345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totais</w:t>
            </w:r>
          </w:p>
        </w:tc>
        <w:tc>
          <w:tcPr>
            <w:tcW w:type="dxa" w:w="61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[número]</w:t>
            </w:r>
          </w:p>
        </w:tc>
      </w:tr>
      <w:tr>
        <w:tc>
          <w:tcPr>
            <w:tcW w:type="dxa" w:w="3456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Leads qualificados</w:t>
            </w:r>
          </w:p>
        </w:tc>
        <w:tc>
          <w:tcPr>
            <w:tcW w:type="dxa" w:w="61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[número]</w:t>
            </w:r>
          </w:p>
        </w:tc>
      </w:tr>
      <w:tr>
        <w:tc>
          <w:tcPr>
            <w:tcW w:type="dxa" w:w="345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Reuniões geradas</w:t>
            </w:r>
          </w:p>
        </w:tc>
        <w:tc>
          <w:tcPr>
            <w:tcW w:type="dxa" w:w="61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[número]</w:t>
            </w:r>
          </w:p>
        </w:tc>
      </w:tr>
      <w:tr>
        <w:tc>
          <w:tcPr>
            <w:tcW w:type="dxa" w:w="3456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Propostas enviadas</w:t>
            </w:r>
          </w:p>
        </w:tc>
        <w:tc>
          <w:tcPr>
            <w:tcW w:type="dxa" w:w="61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[número]</w:t>
            </w:r>
          </w:p>
        </w:tc>
      </w:tr>
      <w:tr>
        <w:tc>
          <w:tcPr>
            <w:tcW w:type="dxa" w:w="345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Pipeline potencial</w:t>
            </w:r>
          </w:p>
        </w:tc>
        <w:tc>
          <w:tcPr>
            <w:tcW w:type="dxa" w:w="61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[valor]</w:t>
            </w:r>
          </w:p>
        </w:tc>
      </w:tr>
      <w:tr>
        <w:tc>
          <w:tcPr>
            <w:tcW w:type="dxa" w:w="3456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Vendas fechadas</w:t>
            </w:r>
          </w:p>
        </w:tc>
        <w:tc>
          <w:tcPr>
            <w:tcW w:type="dxa" w:w="61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[valor]</w:t>
            </w:r>
          </w:p>
        </w:tc>
      </w:tr>
      <w:tr>
        <w:tc>
          <w:tcPr>
            <w:tcW w:type="dxa" w:w="3456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Principais produtos de interesse</w:t>
            </w:r>
          </w:p>
        </w:tc>
        <w:tc>
          <w:tcPr>
            <w:tcW w:type="dxa" w:w="6192"/>
            <w:shd w:fill="F9FAFB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[listar]</w:t>
            </w:r>
          </w:p>
        </w:tc>
      </w:tr>
      <w:tr>
        <w:tc>
          <w:tcPr>
            <w:tcW w:type="dxa" w:w="3456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Aprendizados para o próximo evento</w:t>
            </w:r>
          </w:p>
        </w:tc>
        <w:tc>
          <w:tcPr>
            <w:tcW w:type="dxa" w:w="6192"/>
            <w:vAlign w:val="top"/>
            <w:tcBorders>
              <w:top w:val="single" w:sz="4" w:color="E5E7EB"/>
              <w:left w:val="single" w:sz="4" w:color="E5E7EB"/>
              <w:bottom w:val="single" w:sz="4" w:color="E5E7EB"/>
              <w:right w:val="single" w:sz="4" w:color="E5E7EB"/>
            </w:tcBorders>
          </w:tcPr>
          <w:p>
            <w:r>
              <w:rPr>
                <w:rFonts w:ascii="Aptos" w:hAnsi="Aptos"/>
                <w:color w:val="374151"/>
                <w:sz w:val="17"/>
              </w:rPr>
              <w:t>[listar]</w:t>
            </w:r>
          </w:p>
        </w:tc>
      </w:tr>
    </w:tbl>
    <w:p/>
    <w:p>
      <w:pPr>
        <w:pStyle w:val="Heading1"/>
      </w:pPr>
      <w:r>
        <w:t>11. Erros comuns que devem ser evitados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Esperar muitos dias para fazer o primeiro contato.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Enviar a mesma mensagem para todos os leads.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Não usar as informações registradas no estande.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Não priorizar leads quentes.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Não definir responsáveis por cada contato.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Não registrar interações no CRM.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Não criar régua de nutrição para leads ainda não prontos.</w:t>
      </w:r>
    </w:p>
    <w:p>
      <w:pPr>
        <w:pStyle w:val="ListBullet"/>
        <w:spacing w:after="60"/>
      </w:pPr>
      <w:r>
        <w:rPr>
          <w:rFonts w:ascii="Aptos" w:hAnsi="Aptos"/>
          <w:color w:val="374151"/>
          <w:sz w:val="20"/>
        </w:rPr>
        <w:t>Não medir propostas, pipeline e vendas originadas no evento.</w:t>
      </w:r>
    </w:p>
    <w:p>
      <w:pPr>
        <w:pStyle w:val="Heading1"/>
      </w:pPr>
      <w:r>
        <w:t>12. Página de notas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________________________________________________________________________________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________________________________________________________________________________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________________________________________________________________________________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________________________________________________________________________________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________________________________________________________________________________</w:t>
      </w:r>
    </w:p>
    <w:p>
      <w:pPr>
        <w:spacing w:after="140" w:line="259" w:lineRule="auto"/>
      </w:pPr>
      <w:r>
        <w:rPr>
          <w:rFonts w:ascii="Aptos" w:hAnsi="Aptos"/>
          <w:color w:val="374151"/>
          <w:sz w:val="21"/>
        </w:rPr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36" w:right="936" w:bottom="93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ptos" w:hAnsi="Aptos"/>
        <w:color w:val="6B7280"/>
        <w:sz w:val="16"/>
      </w:rPr>
      <w:t>Modelo de Follow-up Comercial Pós-Evento | Fiera Milano Brasil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 w:ascii="Aptos" w:hAnsi="Aptos"/>
      <w:b/>
      <w:bCs/>
      <w:color w:val="111827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 w:ascii="Aptos" w:hAnsi="Aptos"/>
      <w:b/>
      <w:bCs/>
      <w:color w:val="111827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 w:ascii="Aptos" w:hAnsi="Aptos"/>
      <w:b/>
      <w:bCs/>
      <w:color w:val="111827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Follow-up Comercial Pós-Evento para Expositores</dc:title>
  <dc:subject>Modelo de apoio para expositores em feiras B2B</dc:subject>
  <dc:creator>Fiera Milano Brasil</dc:creator>
  <cp:keywords>feiras, eventos, expositor, follow-up, leads, pós-evento</cp:keywords>
  <dc:description/>
  <cp:lastModifiedBy>Fiera Milano Brasil</cp:lastModifiedBy>
  <cp:revision>1</cp:revision>
  <dcterms:created xsi:type="dcterms:W3CDTF">2013-12-23T23:15:00Z</dcterms:created>
  <dcterms:modified xsi:type="dcterms:W3CDTF">2013-12-23T23:15:00Z</dcterms:modified>
  <cp:category/>
</cp:coreProperties>
</file>