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</w:pPr>
      <w:r>
        <w:rPr>
          <w:b/>
          <w:color w:val="162C48"/>
          <w:sz w:val="56"/>
        </w:rPr>
        <w:t>Modelo de Planejamento de Merchandising e Patrocínio para Expositores</w:t>
      </w:r>
    </w:p>
    <w:p>
      <w:pPr>
        <w:jc w:val="left"/>
      </w:pPr>
      <w:r>
        <w:rPr>
          <w:color w:val="4B5563"/>
          <w:sz w:val="24"/>
        </w:rPr>
        <w:t>Ativo editável para qualquer evento da Fiera Milano Brasil</w:t>
      </w:r>
    </w:p>
    <w:p>
      <w:pPr>
        <w:jc w:val="left"/>
      </w:pPr>
      <w:r>
        <w:rPr>
          <w:b/>
          <w:color w:val="EC5C25"/>
          <w:sz w:val="26"/>
        </w:rPr>
        <w:t>Objetivo do material</w:t>
      </w:r>
    </w:p>
    <w:p>
      <w:pPr>
        <w:pStyle w:val="BodyText"/>
        <w:spacing w:after="100"/>
      </w:pPr>
      <w:r>
        <w:t>Este modelo foi criado para ajudar empresas expositoras a planejarem investimentos em merchandising, patrocínio e mídia de apoio de forma estratégica, conectando a marca à jornada do visitante antes, durante e depois do evento.</w:t>
      </w:r>
    </w:p>
    <w:p>
      <w:pPr>
        <w:pStyle w:val="BodyText"/>
        <w:spacing w:after="100"/>
      </w:pPr>
      <w:r>
        <w:t>Use este documento para definir objetivos, selecionar ativos, estruturar pacotes, organizar prazos de entrega, acompanhar indicadores e mensurar o impacto das ações na geração de visibilidade, tráfego ao estande, leads e oportunidades comerciais.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184"/>
        <w:gridCol w:w="5184"/>
      </w:tblGrid>
      <w:tr>
        <w:tc>
          <w:tcPr>
            <w:tcW w:type="dxa" w:w="2592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7"/>
              </w:rPr>
              <w:t>Como usar este modelo</w:t>
            </w:r>
          </w:p>
        </w:tc>
        <w:tc>
          <w:tcPr>
            <w:tcW w:type="dxa" w:w="8064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7"/>
              </w:rPr>
              <w:t>O que preencher</w:t>
            </w:r>
          </w:p>
        </w:tc>
      </w:tr>
      <w:tr>
        <w:tc>
          <w:tcPr>
            <w:tcW w:type="dxa" w:w="259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1. Defina o objetivo</w:t>
            </w:r>
          </w:p>
        </w:tc>
        <w:tc>
          <w:tcPr>
            <w:tcW w:type="dxa" w:w="806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Escolha se o foco será awareness, tráfego, lançamento, autoridade, relacionamento ou geração de leads.</w:t>
            </w:r>
          </w:p>
        </w:tc>
      </w:tr>
      <w:tr>
        <w:tc>
          <w:tcPr>
            <w:tcW w:type="dxa" w:w="259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2. Mapeie a jornada</w:t>
            </w:r>
          </w:p>
        </w:tc>
        <w:tc>
          <w:tcPr>
            <w:tcW w:type="dxa" w:w="806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Identifique onde a marca deve aparecer: digital, credenciamento, circulação, áreas de permanência, conteúdo e pós-evento.</w:t>
            </w:r>
          </w:p>
        </w:tc>
      </w:tr>
      <w:tr>
        <w:tc>
          <w:tcPr>
            <w:tcW w:type="dxa" w:w="259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3. Selecione os ativos</w:t>
            </w:r>
          </w:p>
        </w:tc>
        <w:tc>
          <w:tcPr>
            <w:tcW w:type="dxa" w:w="806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Escolha itens físicos, digitais e projetos especiais conforme prioridade e orçamento.</w:t>
            </w:r>
          </w:p>
        </w:tc>
      </w:tr>
      <w:tr>
        <w:tc>
          <w:tcPr>
            <w:tcW w:type="dxa" w:w="259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4. Planeje execução</w:t>
            </w:r>
          </w:p>
        </w:tc>
        <w:tc>
          <w:tcPr>
            <w:tcW w:type="dxa" w:w="806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Organize prazos de arte, aprovações, responsáveis e entregas.</w:t>
            </w:r>
          </w:p>
        </w:tc>
      </w:tr>
      <w:tr>
        <w:tc>
          <w:tcPr>
            <w:tcW w:type="dxa" w:w="259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5. Meça resultados</w:t>
            </w:r>
          </w:p>
        </w:tc>
        <w:tc>
          <w:tcPr>
            <w:tcW w:type="dxa" w:w="806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Acompanhe indicadores de alcance, engajamento, tráfego, leads, reuniões, pipeline e ROI.</w:t>
            </w:r>
          </w:p>
        </w:tc>
      </w:tr>
    </w:tbl>
    <w:p/>
    <w:p>
      <w:r>
        <w:br w:type="page"/>
      </w:r>
    </w:p>
    <w:p>
      <w:pPr>
        <w:pStyle w:val="Heading1"/>
        <w:spacing w:before="240" w:after="120"/>
      </w:pPr>
      <w:r>
        <w:rPr>
          <w:color w:val="162C48"/>
        </w:rPr>
        <w:t>1. Diagnóstico inicial do expositor</w:t>
      </w:r>
    </w:p>
    <w:p>
      <w:pPr>
        <w:pStyle w:val="BodyText"/>
        <w:spacing w:after="100"/>
      </w:pPr>
      <w:r>
        <w:t>Antes de contratar qualquer item, o expositor deve entender qual problema de marketing ou vendas deseja resolver com merchandising e patrocínio. A escolha correta dos ativos depende diretamente do objetivo de negócio.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184"/>
        <w:gridCol w:w="5184"/>
      </w:tblGrid>
      <w:tr>
        <w:tc>
          <w:tcPr>
            <w:tcW w:type="dxa" w:w="4320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7"/>
              </w:rPr>
              <w:t>Pergunta estratégica</w:t>
            </w:r>
          </w:p>
        </w:tc>
        <w:tc>
          <w:tcPr>
            <w:tcW w:type="dxa" w:w="6192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7"/>
              </w:rPr>
              <w:t>Resposta do expositor</w:t>
            </w:r>
          </w:p>
        </w:tc>
      </w:tr>
      <w:tr>
        <w:tc>
          <w:tcPr>
            <w:tcW w:type="dxa" w:w="432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Qual é o principal objetivo da participação?</w:t>
            </w:r>
          </w:p>
        </w:tc>
        <w:tc>
          <w:tcPr>
            <w:tcW w:type="dxa" w:w="619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</w:tr>
      <w:tr>
        <w:tc>
          <w:tcPr>
            <w:tcW w:type="dxa" w:w="432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Qual público deve ser impactado com prioridade?</w:t>
            </w:r>
          </w:p>
        </w:tc>
        <w:tc>
          <w:tcPr>
            <w:tcW w:type="dxa" w:w="619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</w:tr>
      <w:tr>
        <w:tc>
          <w:tcPr>
            <w:tcW w:type="dxa" w:w="432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Quais produtos, soluções ou lançamentos serão destaque?</w:t>
            </w:r>
          </w:p>
        </w:tc>
        <w:tc>
          <w:tcPr>
            <w:tcW w:type="dxa" w:w="619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</w:tr>
      <w:tr>
        <w:tc>
          <w:tcPr>
            <w:tcW w:type="dxa" w:w="432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A empresa precisa gerar tráfego no estande, awareness ou leads?</w:t>
            </w:r>
          </w:p>
        </w:tc>
        <w:tc>
          <w:tcPr>
            <w:tcW w:type="dxa" w:w="619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</w:tr>
      <w:tr>
        <w:tc>
          <w:tcPr>
            <w:tcW w:type="dxa" w:w="432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Quais canais próprios serão ativados antes do evento?</w:t>
            </w:r>
          </w:p>
        </w:tc>
        <w:tc>
          <w:tcPr>
            <w:tcW w:type="dxa" w:w="619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</w:tr>
      <w:tr>
        <w:tc>
          <w:tcPr>
            <w:tcW w:type="dxa" w:w="432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Qual orçamento está disponível para ampliar visibilidade?</w:t>
            </w:r>
          </w:p>
        </w:tc>
        <w:tc>
          <w:tcPr>
            <w:tcW w:type="dxa" w:w="619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</w:tr>
      <w:tr>
        <w:tc>
          <w:tcPr>
            <w:tcW w:type="dxa" w:w="432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Quais indicadores serão usados para medir o resultado?</w:t>
            </w:r>
          </w:p>
        </w:tc>
        <w:tc>
          <w:tcPr>
            <w:tcW w:type="dxa" w:w="619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</w:tr>
    </w:tbl>
    <w:p/>
    <w:p>
      <w:pPr>
        <w:pStyle w:val="Heading1"/>
        <w:spacing w:before="240" w:after="120"/>
      </w:pPr>
      <w:r>
        <w:rPr>
          <w:color w:val="162C48"/>
        </w:rPr>
        <w:t>2. Jornada do visitante e pontos de impacto da marca</w:t>
      </w:r>
    </w:p>
    <w:p>
      <w:pPr>
        <w:pStyle w:val="BodyText"/>
        <w:spacing w:after="100"/>
      </w:pPr>
      <w:r>
        <w:t>A força do merchandising está em acompanhar o visitante ao longo de toda a experiência. A marca pode ser vista antes do credenciamento, durante a navegação no site, na chegada ao evento, nos corredores, nas áreas de permanência, no estande e no pós-evento. Quanto mais consistente for essa presença, maior a lembrança de marca e a chance de atração qualificada para o estande.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56"/>
        <w:gridCol w:w="3456"/>
        <w:gridCol w:w="3456"/>
      </w:tblGrid>
      <w:tr>
        <w:tc>
          <w:tcPr>
            <w:tcW w:type="dxa" w:w="2160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6"/>
              </w:rPr>
              <w:t>Etapa da jornada</w:t>
            </w:r>
          </w:p>
        </w:tc>
        <w:tc>
          <w:tcPr>
            <w:tcW w:type="dxa" w:w="4176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6"/>
              </w:rPr>
              <w:t>Ativos possíveis</w:t>
            </w:r>
          </w:p>
        </w:tc>
        <w:tc>
          <w:tcPr>
            <w:tcW w:type="dxa" w:w="4320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6"/>
              </w:rPr>
              <w:t>Objetivo de comunicação</w:t>
            </w:r>
          </w:p>
        </w:tc>
      </w:tr>
      <w:tr>
        <w:tc>
          <w:tcPr>
            <w:tcW w:type="dxa" w:w="216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1. Descoberta digital</w:t>
            </w:r>
          </w:p>
        </w:tc>
        <w:tc>
          <w:tcPr>
            <w:tcW w:type="dxa" w:w="417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Site do evento, e-mail marketing, redes sociais, página do expositor, banners digitais</w:t>
            </w:r>
          </w:p>
        </w:tc>
        <w:tc>
          <w:tcPr>
            <w:tcW w:type="dxa" w:w="432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Gerar reconhecimento, divulgar presença, anunciar lançamentos e iniciar convites.</w:t>
            </w:r>
          </w:p>
        </w:tc>
      </w:tr>
      <w:tr>
        <w:tc>
          <w:tcPr>
            <w:tcW w:type="dxa" w:w="216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2. Planejamento da visita</w:t>
            </w:r>
          </w:p>
        </w:tc>
        <w:tc>
          <w:tcPr>
            <w:tcW w:type="dxa" w:w="417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Planta, catálogo, mapa, página do expositor, conteúdos e agenda</w:t>
            </w:r>
          </w:p>
        </w:tc>
        <w:tc>
          <w:tcPr>
            <w:tcW w:type="dxa" w:w="432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Ajudar o visitante a incluir a marca na rota de visitação.</w:t>
            </w:r>
          </w:p>
        </w:tc>
      </w:tr>
      <w:tr>
        <w:tc>
          <w:tcPr>
            <w:tcW w:type="dxa" w:w="216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3. Credenciamento e chegada</w:t>
            </w:r>
          </w:p>
        </w:tc>
        <w:tc>
          <w:tcPr>
            <w:tcW w:type="dxa" w:w="417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Crachá, cordão, totem de credenciamento, logo em parede ou balcão</w:t>
            </w:r>
          </w:p>
        </w:tc>
        <w:tc>
          <w:tcPr>
            <w:tcW w:type="dxa" w:w="432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Associar a marca ao primeiro contato físico do visitante com o evento.</w:t>
            </w:r>
          </w:p>
        </w:tc>
      </w:tr>
      <w:tr>
        <w:tc>
          <w:tcPr>
            <w:tcW w:type="dxa" w:w="216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4. Circulação no pavilhão</w:t>
            </w:r>
          </w:p>
        </w:tc>
        <w:tc>
          <w:tcPr>
            <w:tcW w:type="dxa" w:w="417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Totens, banners de rua, banners aéreos, adesivos de piso, pórticos e painéis</w:t>
            </w:r>
          </w:p>
        </w:tc>
        <w:tc>
          <w:tcPr>
            <w:tcW w:type="dxa" w:w="432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Orientar fluxo, reforçar presença e atrair visitantes para o estande.</w:t>
            </w:r>
          </w:p>
        </w:tc>
      </w:tr>
      <w:tr>
        <w:tc>
          <w:tcPr>
            <w:tcW w:type="dxa" w:w="216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5. Experiência no estande</w:t>
            </w:r>
          </w:p>
        </w:tc>
        <w:tc>
          <w:tcPr>
            <w:tcW w:type="dxa" w:w="417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Banner aéreo sobre estande, ativações, sampling, demonstrações, conteúdo técnico</w:t>
            </w:r>
          </w:p>
        </w:tc>
        <w:tc>
          <w:tcPr>
            <w:tcW w:type="dxa" w:w="432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Converter atenção em interação, leads e conversas comerciais.</w:t>
            </w:r>
          </w:p>
        </w:tc>
      </w:tr>
      <w:tr>
        <w:tc>
          <w:tcPr>
            <w:tcW w:type="dxa" w:w="216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6. Áreas de permanência</w:t>
            </w:r>
          </w:p>
        </w:tc>
        <w:tc>
          <w:tcPr>
            <w:tcW w:type="dxa" w:w="417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Praça de alimentação, banheiros, elevadores, sala de imprensa, lounges</w:t>
            </w:r>
          </w:p>
        </w:tc>
        <w:tc>
          <w:tcPr>
            <w:tcW w:type="dxa" w:w="432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Aumentar repetição de marca em momentos de pausa e alta circulação.</w:t>
            </w:r>
          </w:p>
        </w:tc>
      </w:tr>
      <w:tr>
        <w:tc>
          <w:tcPr>
            <w:tcW w:type="dxa" w:w="216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7. Pós-evento</w:t>
            </w:r>
          </w:p>
        </w:tc>
        <w:tc>
          <w:tcPr>
            <w:tcW w:type="dxa" w:w="417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Página do expositor, e-mail pós-evento, conteúdo sob demanda, remarketing</w:t>
            </w:r>
          </w:p>
        </w:tc>
        <w:tc>
          <w:tcPr>
            <w:tcW w:type="dxa" w:w="432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Manter a marca ativa, nutrir leads e prolongar a geração de valor.</w:t>
            </w:r>
          </w:p>
        </w:tc>
      </w:tr>
    </w:tbl>
    <w:p/>
    <w:p>
      <w:pPr>
        <w:pStyle w:val="Heading1"/>
        <w:spacing w:before="240" w:after="120"/>
      </w:pPr>
      <w:r>
        <w:rPr>
          <w:color w:val="162C48"/>
        </w:rPr>
        <w:t>3. Matriz de objetivos e ativos recomendados</w:t>
      </w:r>
    </w:p>
    <w:p>
      <w:pPr>
        <w:pStyle w:val="BodyText"/>
        <w:spacing w:after="100"/>
      </w:pPr>
      <w:r>
        <w:t>Use a matriz abaixo para conectar o objetivo da empresa aos itens mais adequados. O ideal não é escolher apenas o item mais visível, mas montar uma combinação que faça sentido para a jornada do visitante e para o funil de vendas.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56"/>
        <w:gridCol w:w="3456"/>
        <w:gridCol w:w="3456"/>
      </w:tblGrid>
      <w:tr>
        <w:tc>
          <w:tcPr>
            <w:tcW w:type="dxa" w:w="2880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6"/>
              </w:rPr>
              <w:t>Objetivo</w:t>
            </w:r>
          </w:p>
        </w:tc>
        <w:tc>
          <w:tcPr>
            <w:tcW w:type="dxa" w:w="4608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6"/>
              </w:rPr>
              <w:t>Ativos recomendados</w:t>
            </w:r>
          </w:p>
        </w:tc>
        <w:tc>
          <w:tcPr>
            <w:tcW w:type="dxa" w:w="3168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6"/>
              </w:rPr>
              <w:t>Resultado esperado</w:t>
            </w:r>
          </w:p>
        </w:tc>
      </w:tr>
      <w:tr>
        <w:tc>
          <w:tcPr>
            <w:tcW w:type="dxa" w:w="288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Awareness e lembrança de marca</w:t>
            </w:r>
          </w:p>
        </w:tc>
        <w:tc>
          <w:tcPr>
            <w:tcW w:type="dxa" w:w="460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Banner aéreo, pórtico de entrada, crachá, cordão, totem 120, praça de alimentação</w:t>
            </w:r>
          </w:p>
        </w:tc>
        <w:tc>
          <w:tcPr>
            <w:tcW w:type="dxa" w:w="316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Alcance, frequência e associação institucional.</w:t>
            </w:r>
          </w:p>
        </w:tc>
      </w:tr>
      <w:tr>
        <w:tc>
          <w:tcPr>
            <w:tcW w:type="dxa" w:w="288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Atração de tráfego ao estande</w:t>
            </w:r>
          </w:p>
        </w:tc>
        <w:tc>
          <w:tcPr>
            <w:tcW w:type="dxa" w:w="460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Totem 80, adesivo de piso, banner de rua, banner aéreo sobre estande, sampling</w:t>
            </w:r>
          </w:p>
        </w:tc>
        <w:tc>
          <w:tcPr>
            <w:tcW w:type="dxa" w:w="316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Direcionamento físico e aumento de visitas qualificadas.</w:t>
            </w:r>
          </w:p>
        </w:tc>
      </w:tr>
      <w:tr>
        <w:tc>
          <w:tcPr>
            <w:tcW w:type="dxa" w:w="288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Lançamento de produto</w:t>
            </w:r>
          </w:p>
        </w:tc>
        <w:tc>
          <w:tcPr>
            <w:tcW w:type="dxa" w:w="460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E-mail marketing, redes sociais, página do expositor, ativações especiais, demonstração</w:t>
            </w:r>
          </w:p>
        </w:tc>
        <w:tc>
          <w:tcPr>
            <w:tcW w:type="dxa" w:w="316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Gerar curiosidade antes e prova prática durante o evento.</w:t>
            </w:r>
          </w:p>
        </w:tc>
      </w:tr>
      <w:tr>
        <w:tc>
          <w:tcPr>
            <w:tcW w:type="dxa" w:w="288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Geração de leads</w:t>
            </w:r>
          </w:p>
        </w:tc>
        <w:tc>
          <w:tcPr>
            <w:tcW w:type="dxa" w:w="460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Página do expositor, e-mail marketing, ativações no estande, conteúdo técnico, QR Codes</w:t>
            </w:r>
          </w:p>
        </w:tc>
        <w:tc>
          <w:tcPr>
            <w:tcW w:type="dxa" w:w="316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Capturar interesse e transformar audiência em base comercial.</w:t>
            </w:r>
          </w:p>
        </w:tc>
      </w:tr>
      <w:tr>
        <w:tc>
          <w:tcPr>
            <w:tcW w:type="dxa" w:w="288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Autoridade técnica</w:t>
            </w:r>
          </w:p>
        </w:tc>
        <w:tc>
          <w:tcPr>
            <w:tcW w:type="dxa" w:w="460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Patrocínio de conteúdo, arena, podcast, sala de imprensa, entrevista, relatório pós-evento</w:t>
            </w:r>
          </w:p>
        </w:tc>
        <w:tc>
          <w:tcPr>
            <w:tcW w:type="dxa" w:w="316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Reforçar posicionamento de especialista.</w:t>
            </w:r>
          </w:p>
        </w:tc>
      </w:tr>
      <w:tr>
        <w:tc>
          <w:tcPr>
            <w:tcW w:type="dxa" w:w="288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Relacionamento VIP</w:t>
            </w:r>
          </w:p>
        </w:tc>
        <w:tc>
          <w:tcPr>
            <w:tcW w:type="dxa" w:w="460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Crachá VIP, lounge, meeting room, Top Buyers, convite personalizado</w:t>
            </w:r>
          </w:p>
        </w:tc>
        <w:tc>
          <w:tcPr>
            <w:tcW w:type="dxa" w:w="316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Aproximar a marca de compradores e decisores estratégicos.</w:t>
            </w:r>
          </w:p>
        </w:tc>
      </w:tr>
    </w:tbl>
    <w:p/>
    <w:p>
      <w:pPr>
        <w:pStyle w:val="Heading1"/>
        <w:spacing w:before="240" w:after="120"/>
      </w:pPr>
      <w:r>
        <w:rPr>
          <w:color w:val="162C48"/>
        </w:rPr>
        <w:t>4. Inventário de ativos para seleção</w:t>
      </w:r>
    </w:p>
    <w:p>
      <w:pPr>
        <w:pStyle w:val="BodyText"/>
        <w:spacing w:after="100"/>
      </w:pPr>
      <w:r>
        <w:t>Preencha a tabela com os ativos disponíveis no evento, incluindo valores, prioridade e status de contratação. A lista abaixo pode ser adaptada conforme o book comercial de cada feira.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481"/>
        <w:gridCol w:w="1481"/>
        <w:gridCol w:w="1481"/>
        <w:gridCol w:w="1481"/>
        <w:gridCol w:w="1481"/>
        <w:gridCol w:w="1481"/>
        <w:gridCol w:w="1481"/>
      </w:tblGrid>
      <w:tr>
        <w:tc>
          <w:tcPr>
            <w:tcW w:type="dxa" w:w="1368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4"/>
              </w:rPr>
              <w:t>Categoria</w:t>
            </w:r>
          </w:p>
        </w:tc>
        <w:tc>
          <w:tcPr>
            <w:tcW w:type="dxa" w:w="2232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4"/>
              </w:rPr>
              <w:t>Ativo</w:t>
            </w:r>
          </w:p>
        </w:tc>
        <w:tc>
          <w:tcPr>
            <w:tcW w:type="dxa" w:w="1872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4"/>
              </w:rPr>
              <w:t>Etapa</w:t>
            </w:r>
          </w:p>
        </w:tc>
        <w:tc>
          <w:tcPr>
            <w:tcW w:type="dxa" w:w="3024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4"/>
              </w:rPr>
              <w:t>Objetivo</w:t>
            </w:r>
          </w:p>
        </w:tc>
        <w:tc>
          <w:tcPr>
            <w:tcW w:type="dxa" w:w="1152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4"/>
              </w:rPr>
              <w:t>Prioridade</w:t>
            </w:r>
          </w:p>
        </w:tc>
        <w:tc>
          <w:tcPr>
            <w:tcW w:type="dxa" w:w="1296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4"/>
              </w:rPr>
              <w:t>Investimento</w:t>
            </w:r>
          </w:p>
        </w:tc>
        <w:tc>
          <w:tcPr>
            <w:tcW w:type="dxa" w:w="1296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4"/>
              </w:rPr>
              <w:t>Status</w:t>
            </w:r>
          </w:p>
        </w:tc>
      </w:tr>
      <w:tr>
        <w:tc>
          <w:tcPr>
            <w:tcW w:type="dxa" w:w="136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Digital</w:t>
            </w:r>
          </w:p>
        </w:tc>
        <w:tc>
          <w:tcPr>
            <w:tcW w:type="dxa" w:w="223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Site - banner</w:t>
            </w:r>
          </w:p>
        </w:tc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Pré-evento</w:t>
            </w:r>
          </w:p>
        </w:tc>
        <w:tc>
          <w:tcPr>
            <w:tcW w:type="dxa" w:w="302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Awareness / tráfego</w:t>
            </w:r>
          </w:p>
        </w:tc>
        <w:tc>
          <w:tcPr>
            <w:tcW w:type="dxa" w:w="115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</w:tr>
      <w:tr>
        <w:tc>
          <w:tcPr>
            <w:tcW w:type="dxa" w:w="136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Digital</w:t>
            </w:r>
          </w:p>
        </w:tc>
        <w:tc>
          <w:tcPr>
            <w:tcW w:type="dxa" w:w="223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E-mail marketing - disparo</w:t>
            </w:r>
          </w:p>
        </w:tc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Pré e pós-evento</w:t>
            </w:r>
          </w:p>
        </w:tc>
        <w:tc>
          <w:tcPr>
            <w:tcW w:type="dxa" w:w="302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Convite / lançamento / leads</w:t>
            </w:r>
          </w:p>
        </w:tc>
        <w:tc>
          <w:tcPr>
            <w:tcW w:type="dxa" w:w="115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</w:tr>
      <w:tr>
        <w:tc>
          <w:tcPr>
            <w:tcW w:type="dxa" w:w="136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Digital</w:t>
            </w:r>
          </w:p>
        </w:tc>
        <w:tc>
          <w:tcPr>
            <w:tcW w:type="dxa" w:w="223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Página do expositor</w:t>
            </w:r>
          </w:p>
        </w:tc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Pré, durante e pós</w:t>
            </w:r>
          </w:p>
        </w:tc>
        <w:tc>
          <w:tcPr>
            <w:tcW w:type="dxa" w:w="302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Informação / credenciamento / leads</w:t>
            </w:r>
          </w:p>
        </w:tc>
        <w:tc>
          <w:tcPr>
            <w:tcW w:type="dxa" w:w="115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</w:tr>
      <w:tr>
        <w:tc>
          <w:tcPr>
            <w:tcW w:type="dxa" w:w="136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Digital</w:t>
            </w:r>
          </w:p>
        </w:tc>
        <w:tc>
          <w:tcPr>
            <w:tcW w:type="dxa" w:w="223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Redes sociais - post</w:t>
            </w:r>
          </w:p>
        </w:tc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Pré e durante</w:t>
            </w:r>
          </w:p>
        </w:tc>
        <w:tc>
          <w:tcPr>
            <w:tcW w:type="dxa" w:w="302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Alcance / prova social</w:t>
            </w:r>
          </w:p>
        </w:tc>
        <w:tc>
          <w:tcPr>
            <w:tcW w:type="dxa" w:w="115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</w:tr>
      <w:tr>
        <w:tc>
          <w:tcPr>
            <w:tcW w:type="dxa" w:w="136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Credenciamento</w:t>
            </w:r>
          </w:p>
        </w:tc>
        <w:tc>
          <w:tcPr>
            <w:tcW w:type="dxa" w:w="223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Crachá visitante</w:t>
            </w:r>
          </w:p>
        </w:tc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Chegada</w:t>
            </w:r>
          </w:p>
        </w:tc>
        <w:tc>
          <w:tcPr>
            <w:tcW w:type="dxa" w:w="302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Alta exposição e associação institucional</w:t>
            </w:r>
          </w:p>
        </w:tc>
        <w:tc>
          <w:tcPr>
            <w:tcW w:type="dxa" w:w="115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</w:tr>
      <w:tr>
        <w:tc>
          <w:tcPr>
            <w:tcW w:type="dxa" w:w="136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Credenciamento</w:t>
            </w:r>
          </w:p>
        </w:tc>
        <w:tc>
          <w:tcPr>
            <w:tcW w:type="dxa" w:w="223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Cordão para crachá</w:t>
            </w:r>
          </w:p>
        </w:tc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Chegada e circulação</w:t>
            </w:r>
          </w:p>
        </w:tc>
        <w:tc>
          <w:tcPr>
            <w:tcW w:type="dxa" w:w="302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Frequência de marca</w:t>
            </w:r>
          </w:p>
        </w:tc>
        <w:tc>
          <w:tcPr>
            <w:tcW w:type="dxa" w:w="115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</w:tr>
      <w:tr>
        <w:tc>
          <w:tcPr>
            <w:tcW w:type="dxa" w:w="136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Credenciamento</w:t>
            </w:r>
          </w:p>
        </w:tc>
        <w:tc>
          <w:tcPr>
            <w:tcW w:type="dxa" w:w="223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Totem de credenciamento</w:t>
            </w:r>
          </w:p>
        </w:tc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Chegada</w:t>
            </w:r>
          </w:p>
        </w:tc>
        <w:tc>
          <w:tcPr>
            <w:tcW w:type="dxa" w:w="302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Primeiro impacto</w:t>
            </w:r>
          </w:p>
        </w:tc>
        <w:tc>
          <w:tcPr>
            <w:tcW w:type="dxa" w:w="115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</w:tr>
      <w:tr>
        <w:tc>
          <w:tcPr>
            <w:tcW w:type="dxa" w:w="136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Orientação</w:t>
            </w:r>
          </w:p>
        </w:tc>
        <w:tc>
          <w:tcPr>
            <w:tcW w:type="dxa" w:w="223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Logomarca na planta impressa</w:t>
            </w:r>
          </w:p>
        </w:tc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Planejamento e circulação</w:t>
            </w:r>
          </w:p>
        </w:tc>
        <w:tc>
          <w:tcPr>
            <w:tcW w:type="dxa" w:w="302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Inclusão na rota do visitante</w:t>
            </w:r>
          </w:p>
        </w:tc>
        <w:tc>
          <w:tcPr>
            <w:tcW w:type="dxa" w:w="115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</w:tr>
      <w:tr>
        <w:tc>
          <w:tcPr>
            <w:tcW w:type="dxa" w:w="136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Pavilhão</w:t>
            </w:r>
          </w:p>
        </w:tc>
        <w:tc>
          <w:tcPr>
            <w:tcW w:type="dxa" w:w="223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Totem 80</w:t>
            </w:r>
          </w:p>
        </w:tc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Circulação</w:t>
            </w:r>
          </w:p>
        </w:tc>
        <w:tc>
          <w:tcPr>
            <w:tcW w:type="dxa" w:w="302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Direcionamento e presença física</w:t>
            </w:r>
          </w:p>
        </w:tc>
        <w:tc>
          <w:tcPr>
            <w:tcW w:type="dxa" w:w="115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</w:tr>
      <w:tr>
        <w:tc>
          <w:tcPr>
            <w:tcW w:type="dxa" w:w="136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Pavilhão</w:t>
            </w:r>
          </w:p>
        </w:tc>
        <w:tc>
          <w:tcPr>
            <w:tcW w:type="dxa" w:w="223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Totem 120</w:t>
            </w:r>
          </w:p>
        </w:tc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Circulação</w:t>
            </w:r>
          </w:p>
        </w:tc>
        <w:tc>
          <w:tcPr>
            <w:tcW w:type="dxa" w:w="302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Destaque e repetição</w:t>
            </w:r>
          </w:p>
        </w:tc>
        <w:tc>
          <w:tcPr>
            <w:tcW w:type="dxa" w:w="115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</w:tr>
      <w:tr>
        <w:tc>
          <w:tcPr>
            <w:tcW w:type="dxa" w:w="136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Pavilhão</w:t>
            </w:r>
          </w:p>
        </w:tc>
        <w:tc>
          <w:tcPr>
            <w:tcW w:type="dxa" w:w="223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Banner de rua</w:t>
            </w:r>
          </w:p>
        </w:tc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Circulação</w:t>
            </w:r>
          </w:p>
        </w:tc>
        <w:tc>
          <w:tcPr>
            <w:tcW w:type="dxa" w:w="302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Alta visibilidade</w:t>
            </w:r>
          </w:p>
        </w:tc>
        <w:tc>
          <w:tcPr>
            <w:tcW w:type="dxa" w:w="115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</w:tr>
      <w:tr>
        <w:tc>
          <w:tcPr>
            <w:tcW w:type="dxa" w:w="136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Pavilhão</w:t>
            </w:r>
          </w:p>
        </w:tc>
        <w:tc>
          <w:tcPr>
            <w:tcW w:type="dxa" w:w="223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Banner aéreo sobre estande</w:t>
            </w:r>
          </w:p>
        </w:tc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Localização do estande</w:t>
            </w:r>
          </w:p>
        </w:tc>
        <w:tc>
          <w:tcPr>
            <w:tcW w:type="dxa" w:w="302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Facilitar identificação e tráfego</w:t>
            </w:r>
          </w:p>
        </w:tc>
        <w:tc>
          <w:tcPr>
            <w:tcW w:type="dxa" w:w="115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</w:tr>
      <w:tr>
        <w:tc>
          <w:tcPr>
            <w:tcW w:type="dxa" w:w="136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Pavilhão</w:t>
            </w:r>
          </w:p>
        </w:tc>
        <w:tc>
          <w:tcPr>
            <w:tcW w:type="dxa" w:w="223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Adesivo de piso</w:t>
            </w:r>
          </w:p>
        </w:tc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Circulação</w:t>
            </w:r>
          </w:p>
        </w:tc>
        <w:tc>
          <w:tcPr>
            <w:tcW w:type="dxa" w:w="302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Direcionamento e impacto visual</w:t>
            </w:r>
          </w:p>
        </w:tc>
        <w:tc>
          <w:tcPr>
            <w:tcW w:type="dxa" w:w="115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</w:tr>
      <w:tr>
        <w:tc>
          <w:tcPr>
            <w:tcW w:type="dxa" w:w="136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Pavilhão</w:t>
            </w:r>
          </w:p>
        </w:tc>
        <w:tc>
          <w:tcPr>
            <w:tcW w:type="dxa" w:w="223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Banner praça de alimentação</w:t>
            </w:r>
          </w:p>
        </w:tc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Permanência</w:t>
            </w:r>
          </w:p>
        </w:tc>
        <w:tc>
          <w:tcPr>
            <w:tcW w:type="dxa" w:w="302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Repetição em área de descanso</w:t>
            </w:r>
          </w:p>
        </w:tc>
        <w:tc>
          <w:tcPr>
            <w:tcW w:type="dxa" w:w="115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</w:tr>
      <w:tr>
        <w:tc>
          <w:tcPr>
            <w:tcW w:type="dxa" w:w="136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Pavilhão</w:t>
            </w:r>
          </w:p>
        </w:tc>
        <w:tc>
          <w:tcPr>
            <w:tcW w:type="dxa" w:w="223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Escada rolante / elevadores</w:t>
            </w:r>
          </w:p>
        </w:tc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Fluxo vertical</w:t>
            </w:r>
          </w:p>
        </w:tc>
        <w:tc>
          <w:tcPr>
            <w:tcW w:type="dxa" w:w="302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Impacto em deslocamento</w:t>
            </w:r>
          </w:p>
        </w:tc>
        <w:tc>
          <w:tcPr>
            <w:tcW w:type="dxa" w:w="115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</w:tr>
      <w:tr>
        <w:tc>
          <w:tcPr>
            <w:tcW w:type="dxa" w:w="136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Experiência</w:t>
            </w:r>
          </w:p>
        </w:tc>
        <w:tc>
          <w:tcPr>
            <w:tcW w:type="dxa" w:w="223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Sampling</w:t>
            </w:r>
          </w:p>
        </w:tc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Durante o evento</w:t>
            </w:r>
          </w:p>
        </w:tc>
        <w:tc>
          <w:tcPr>
            <w:tcW w:type="dxa" w:w="302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Experimentação e contato direto</w:t>
            </w:r>
          </w:p>
        </w:tc>
        <w:tc>
          <w:tcPr>
            <w:tcW w:type="dxa" w:w="115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</w:tr>
      <w:tr>
        <w:tc>
          <w:tcPr>
            <w:tcW w:type="dxa" w:w="136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Especial</w:t>
            </w:r>
          </w:p>
        </w:tc>
        <w:tc>
          <w:tcPr>
            <w:tcW w:type="dxa" w:w="223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Projeto especial / ativação</w:t>
            </w:r>
          </w:p>
        </w:tc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Durante o evento</w:t>
            </w:r>
          </w:p>
        </w:tc>
        <w:tc>
          <w:tcPr>
            <w:tcW w:type="dxa" w:w="302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  <w:t>Experiência memorável</w:t>
            </w:r>
          </w:p>
        </w:tc>
        <w:tc>
          <w:tcPr>
            <w:tcW w:type="dxa" w:w="115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4"/>
              </w:rPr>
            </w:r>
          </w:p>
        </w:tc>
      </w:tr>
    </w:tbl>
    <w:p/>
    <w:p>
      <w:pPr>
        <w:pStyle w:val="Heading1"/>
        <w:spacing w:before="240" w:after="120"/>
      </w:pPr>
      <w:r>
        <w:rPr>
          <w:color w:val="162C48"/>
        </w:rPr>
        <w:t>5. Montagem de pacote recomendado</w:t>
      </w:r>
    </w:p>
    <w:p>
      <w:pPr>
        <w:pStyle w:val="BodyText"/>
        <w:spacing w:after="100"/>
      </w:pPr>
      <w:r>
        <w:t>A combinação de ativos deve ser pensada em camadas: antes, durante e depois do evento. Abaixo estão três modelos de pacote que podem ser adaptados conforme objetivo e orçamento.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92"/>
        <w:gridCol w:w="2592"/>
        <w:gridCol w:w="2592"/>
        <w:gridCol w:w="2592"/>
      </w:tblGrid>
      <w:tr>
        <w:tc>
          <w:tcPr>
            <w:tcW w:type="dxa" w:w="1440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5"/>
              </w:rPr>
              <w:t>Pacote</w:t>
            </w:r>
          </w:p>
        </w:tc>
        <w:tc>
          <w:tcPr>
            <w:tcW w:type="dxa" w:w="2880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5"/>
              </w:rPr>
              <w:t>Para quem é indicado</w:t>
            </w:r>
          </w:p>
        </w:tc>
        <w:tc>
          <w:tcPr>
            <w:tcW w:type="dxa" w:w="3888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5"/>
              </w:rPr>
              <w:t>Composição sugerida</w:t>
            </w:r>
          </w:p>
        </w:tc>
        <w:tc>
          <w:tcPr>
            <w:tcW w:type="dxa" w:w="2592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5"/>
              </w:rPr>
              <w:t>Benefício esperado</w:t>
            </w:r>
          </w:p>
        </w:tc>
      </w:tr>
      <w:tr>
        <w:tc>
          <w:tcPr>
            <w:tcW w:type="dxa" w:w="144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  <w:t>Standard</w:t>
            </w:r>
          </w:p>
        </w:tc>
        <w:tc>
          <w:tcPr>
            <w:tcW w:type="dxa" w:w="288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  <w:t>Marcas que desejam aumentar presença com investimento inicial.</w:t>
            </w:r>
          </w:p>
        </w:tc>
        <w:tc>
          <w:tcPr>
            <w:tcW w:type="dxa" w:w="388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  <w:t>Página do expositor + post em rede social + totem ou adesivo de piso + assinatura de e-mail própria.</w:t>
            </w:r>
          </w:p>
        </w:tc>
        <w:tc>
          <w:tcPr>
            <w:tcW w:type="dxa" w:w="259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  <w:t>Visibilidade básica, reforço de presença e apoio ao convite de clientes.</w:t>
            </w:r>
          </w:p>
        </w:tc>
      </w:tr>
      <w:tr>
        <w:tc>
          <w:tcPr>
            <w:tcW w:type="dxa" w:w="144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  <w:t>Premium</w:t>
            </w:r>
          </w:p>
        </w:tc>
        <w:tc>
          <w:tcPr>
            <w:tcW w:type="dxa" w:w="288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  <w:t>Marcas que desejam gerar tráfego e destacar lançamentos.</w:t>
            </w:r>
          </w:p>
        </w:tc>
        <w:tc>
          <w:tcPr>
            <w:tcW w:type="dxa" w:w="388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  <w:t>E-mail marketing + banner no site + página do expositor + banner aéreo sobre estande + totem + logo na planta.</w:t>
            </w:r>
          </w:p>
        </w:tc>
        <w:tc>
          <w:tcPr>
            <w:tcW w:type="dxa" w:w="259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  <w:t>Maior lembrança, tráfego ao estande e suporte à geração de leads.</w:t>
            </w:r>
          </w:p>
        </w:tc>
      </w:tr>
      <w:tr>
        <w:tc>
          <w:tcPr>
            <w:tcW w:type="dxa" w:w="144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  <w:t>Exclusive</w:t>
            </w:r>
          </w:p>
        </w:tc>
        <w:tc>
          <w:tcPr>
            <w:tcW w:type="dxa" w:w="288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  <w:t>Marcas que desejam dominar a jornada e associar-se ao evento.</w:t>
            </w:r>
          </w:p>
        </w:tc>
        <w:tc>
          <w:tcPr>
            <w:tcW w:type="dxa" w:w="388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  <w:t>Crachá ou cordão + pórtico/entrada + projeto especial + praça de alimentação ou área estratégica + mídia digital e pós-evento.</w:t>
            </w:r>
          </w:p>
        </w:tc>
        <w:tc>
          <w:tcPr>
            <w:tcW w:type="dxa" w:w="259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  <w:t>Alto impacto, presença institucional e diferenciação perante concorrentes.</w:t>
            </w:r>
          </w:p>
        </w:tc>
      </w:tr>
    </w:tbl>
    <w:p/>
    <w:p>
      <w:pPr>
        <w:pStyle w:val="Heading1"/>
        <w:spacing w:before="240" w:after="120"/>
      </w:pPr>
      <w:r>
        <w:rPr>
          <w:color w:val="162C48"/>
        </w:rPr>
        <w:t>6. Planejamento de execução</w:t>
      </w:r>
    </w:p>
    <w:p>
      <w:pPr>
        <w:pStyle w:val="BodyText"/>
        <w:spacing w:after="100"/>
      </w:pPr>
      <w:r>
        <w:t>Após a escolha dos ativos, o expositor deve organizar a produção das artes, aprovações e prazos. Essa etapa é decisiva para evitar atrasos, retrabalho e perda de oportunidades de entrega.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481"/>
        <w:gridCol w:w="1481"/>
        <w:gridCol w:w="1481"/>
        <w:gridCol w:w="1481"/>
        <w:gridCol w:w="1481"/>
        <w:gridCol w:w="1481"/>
        <w:gridCol w:w="1481"/>
      </w:tblGrid>
      <w:tr>
        <w:tc>
          <w:tcPr>
            <w:tcW w:type="dxa" w:w="1872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5"/>
              </w:rPr>
              <w:t>Ativo</w:t>
            </w:r>
          </w:p>
        </w:tc>
        <w:tc>
          <w:tcPr>
            <w:tcW w:type="dxa" w:w="1728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5"/>
              </w:rPr>
              <w:t>Formato / medida</w:t>
            </w:r>
          </w:p>
        </w:tc>
        <w:tc>
          <w:tcPr>
            <w:tcW w:type="dxa" w:w="1296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5"/>
              </w:rPr>
              <w:t>Arte enviada?</w:t>
            </w:r>
          </w:p>
        </w:tc>
        <w:tc>
          <w:tcPr>
            <w:tcW w:type="dxa" w:w="1296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5"/>
              </w:rPr>
              <w:t>Aprovação</w:t>
            </w:r>
          </w:p>
        </w:tc>
        <w:tc>
          <w:tcPr>
            <w:tcW w:type="dxa" w:w="1584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5"/>
              </w:rPr>
              <w:t>Responsável</w:t>
            </w:r>
          </w:p>
        </w:tc>
        <w:tc>
          <w:tcPr>
            <w:tcW w:type="dxa" w:w="1584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5"/>
              </w:rPr>
              <w:t>Prazo limite</w:t>
            </w:r>
          </w:p>
        </w:tc>
        <w:tc>
          <w:tcPr>
            <w:tcW w:type="dxa" w:w="1872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5"/>
              </w:rPr>
              <w:t>Observações</w:t>
            </w:r>
          </w:p>
        </w:tc>
      </w:tr>
      <w:tr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72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58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58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</w:tr>
      <w:tr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72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58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58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</w:tr>
      <w:tr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72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58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58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</w:tr>
      <w:tr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72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58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58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</w:tr>
      <w:tr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72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58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58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</w:tr>
      <w:tr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72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58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58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</w:tr>
      <w:tr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72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58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58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</w:tr>
      <w:tr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72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58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58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</w:tr>
      <w:tr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72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58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58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</w:tr>
      <w:tr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72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2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58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58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5"/>
              </w:rPr>
            </w:r>
          </w:p>
        </w:tc>
      </w:tr>
    </w:tbl>
    <w:p/>
    <w:p>
      <w:pPr>
        <w:pStyle w:val="Heading1"/>
        <w:spacing w:before="240" w:after="120"/>
      </w:pPr>
      <w:r>
        <w:rPr>
          <w:color w:val="162C48"/>
        </w:rPr>
        <w:t>7. Checklist de contratação e entrega</w:t>
      </w:r>
    </w:p>
    <w:p>
      <w:pPr>
        <w:pStyle w:val="Heading2"/>
        <w:spacing w:before="160" w:after="80"/>
      </w:pPr>
      <w:r>
        <w:rPr>
          <w:color w:val="EC5C25"/>
        </w:rPr>
        <w:t>Antes da contratação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92"/>
        <w:gridCol w:w="2592"/>
        <w:gridCol w:w="2592"/>
        <w:gridCol w:w="2592"/>
      </w:tblGrid>
      <w:tr>
        <w:tc>
          <w:tcPr>
            <w:tcW w:type="dxa" w:w="648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7"/>
              </w:rPr>
              <w:t>OK</w:t>
            </w:r>
          </w:p>
        </w:tc>
        <w:tc>
          <w:tcPr>
            <w:tcW w:type="dxa" w:w="6336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7"/>
              </w:rPr>
              <w:t>Item</w:t>
            </w:r>
          </w:p>
        </w:tc>
        <w:tc>
          <w:tcPr>
            <w:tcW w:type="dxa" w:w="2160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7"/>
              </w:rPr>
              <w:t>Responsável</w:t>
            </w:r>
          </w:p>
        </w:tc>
        <w:tc>
          <w:tcPr>
            <w:tcW w:type="dxa" w:w="1440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7"/>
              </w:rPr>
              <w:t>Prazo</w:t>
            </w:r>
          </w:p>
        </w:tc>
      </w:tr>
      <w:tr>
        <w:tc>
          <w:tcPr>
            <w:tcW w:type="dxa" w:w="64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☐</w:t>
            </w:r>
          </w:p>
        </w:tc>
        <w:tc>
          <w:tcPr>
            <w:tcW w:type="dxa" w:w="633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Definir objetivo principal do investimento em merchandising ou patrocínio.</w:t>
            </w:r>
          </w:p>
        </w:tc>
        <w:tc>
          <w:tcPr>
            <w:tcW w:type="dxa" w:w="216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</w:tr>
      <w:tr>
        <w:tc>
          <w:tcPr>
            <w:tcW w:type="dxa" w:w="64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☐</w:t>
            </w:r>
          </w:p>
        </w:tc>
        <w:tc>
          <w:tcPr>
            <w:tcW w:type="dxa" w:w="633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Selecionar público prioritário que deve ser impactado.</w:t>
            </w:r>
          </w:p>
        </w:tc>
        <w:tc>
          <w:tcPr>
            <w:tcW w:type="dxa" w:w="216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</w:tr>
      <w:tr>
        <w:tc>
          <w:tcPr>
            <w:tcW w:type="dxa" w:w="64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☐</w:t>
            </w:r>
          </w:p>
        </w:tc>
        <w:tc>
          <w:tcPr>
            <w:tcW w:type="dxa" w:w="633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Mapear pontos da jornada em que a marca deve aparecer.</w:t>
            </w:r>
          </w:p>
        </w:tc>
        <w:tc>
          <w:tcPr>
            <w:tcW w:type="dxa" w:w="216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</w:tr>
      <w:tr>
        <w:tc>
          <w:tcPr>
            <w:tcW w:type="dxa" w:w="64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☐</w:t>
            </w:r>
          </w:p>
        </w:tc>
        <w:tc>
          <w:tcPr>
            <w:tcW w:type="dxa" w:w="633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Validar orçamento disponível e prioridade dos ativos.</w:t>
            </w:r>
          </w:p>
        </w:tc>
        <w:tc>
          <w:tcPr>
            <w:tcW w:type="dxa" w:w="216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</w:tr>
      <w:tr>
        <w:tc>
          <w:tcPr>
            <w:tcW w:type="dxa" w:w="64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☐</w:t>
            </w:r>
          </w:p>
        </w:tc>
        <w:tc>
          <w:tcPr>
            <w:tcW w:type="dxa" w:w="633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Consultar disponibilidade dos itens com a organização do evento.</w:t>
            </w:r>
          </w:p>
        </w:tc>
        <w:tc>
          <w:tcPr>
            <w:tcW w:type="dxa" w:w="216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</w:tr>
      <w:tr>
        <w:tc>
          <w:tcPr>
            <w:tcW w:type="dxa" w:w="64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☐</w:t>
            </w:r>
          </w:p>
        </w:tc>
        <w:tc>
          <w:tcPr>
            <w:tcW w:type="dxa" w:w="633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Escolher pacote ou combinação de ativos.</w:t>
            </w:r>
          </w:p>
        </w:tc>
        <w:tc>
          <w:tcPr>
            <w:tcW w:type="dxa" w:w="216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</w:tr>
    </w:tbl>
    <w:p/>
    <w:p>
      <w:pPr>
        <w:pStyle w:val="Heading2"/>
        <w:spacing w:before="160" w:after="80"/>
      </w:pPr>
      <w:r>
        <w:rPr>
          <w:color w:val="EC5C25"/>
        </w:rPr>
        <w:t>Antes do envio das artes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92"/>
        <w:gridCol w:w="2592"/>
        <w:gridCol w:w="2592"/>
        <w:gridCol w:w="2592"/>
      </w:tblGrid>
      <w:tr>
        <w:tc>
          <w:tcPr>
            <w:tcW w:type="dxa" w:w="648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7"/>
              </w:rPr>
              <w:t>OK</w:t>
            </w:r>
          </w:p>
        </w:tc>
        <w:tc>
          <w:tcPr>
            <w:tcW w:type="dxa" w:w="6336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7"/>
              </w:rPr>
              <w:t>Item</w:t>
            </w:r>
          </w:p>
        </w:tc>
        <w:tc>
          <w:tcPr>
            <w:tcW w:type="dxa" w:w="2160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7"/>
              </w:rPr>
              <w:t>Responsável</w:t>
            </w:r>
          </w:p>
        </w:tc>
        <w:tc>
          <w:tcPr>
            <w:tcW w:type="dxa" w:w="1440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7"/>
              </w:rPr>
              <w:t>Prazo</w:t>
            </w:r>
          </w:p>
        </w:tc>
      </w:tr>
      <w:tr>
        <w:tc>
          <w:tcPr>
            <w:tcW w:type="dxa" w:w="64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☐</w:t>
            </w:r>
          </w:p>
        </w:tc>
        <w:tc>
          <w:tcPr>
            <w:tcW w:type="dxa" w:w="633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Solicitar especificações técnicas e formatos de arquivo.</w:t>
            </w:r>
          </w:p>
        </w:tc>
        <w:tc>
          <w:tcPr>
            <w:tcW w:type="dxa" w:w="216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</w:tr>
      <w:tr>
        <w:tc>
          <w:tcPr>
            <w:tcW w:type="dxa" w:w="64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☐</w:t>
            </w:r>
          </w:p>
        </w:tc>
        <w:tc>
          <w:tcPr>
            <w:tcW w:type="dxa" w:w="633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Adaptar mensagem conforme contexto: digital, credenciamento, pavilhão ou pós-evento.</w:t>
            </w:r>
          </w:p>
        </w:tc>
        <w:tc>
          <w:tcPr>
            <w:tcW w:type="dxa" w:w="216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</w:tr>
      <w:tr>
        <w:tc>
          <w:tcPr>
            <w:tcW w:type="dxa" w:w="64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☐</w:t>
            </w:r>
          </w:p>
        </w:tc>
        <w:tc>
          <w:tcPr>
            <w:tcW w:type="dxa" w:w="633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Incluir chamada clara para visitar o estande, agendar reunião ou acessar conteúdo.</w:t>
            </w:r>
          </w:p>
        </w:tc>
        <w:tc>
          <w:tcPr>
            <w:tcW w:type="dxa" w:w="216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</w:tr>
      <w:tr>
        <w:tc>
          <w:tcPr>
            <w:tcW w:type="dxa" w:w="64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☐</w:t>
            </w:r>
          </w:p>
        </w:tc>
        <w:tc>
          <w:tcPr>
            <w:tcW w:type="dxa" w:w="633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Revisar logo, cores, legibilidade e informações do estande.</w:t>
            </w:r>
          </w:p>
        </w:tc>
        <w:tc>
          <w:tcPr>
            <w:tcW w:type="dxa" w:w="216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</w:tr>
      <w:tr>
        <w:tc>
          <w:tcPr>
            <w:tcW w:type="dxa" w:w="64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☐</w:t>
            </w:r>
          </w:p>
        </w:tc>
        <w:tc>
          <w:tcPr>
            <w:tcW w:type="dxa" w:w="633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Aprovar internamente com marketing, comercial e diretoria.</w:t>
            </w:r>
          </w:p>
        </w:tc>
        <w:tc>
          <w:tcPr>
            <w:tcW w:type="dxa" w:w="216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</w:tr>
    </w:tbl>
    <w:p/>
    <w:p>
      <w:pPr>
        <w:pStyle w:val="Heading2"/>
        <w:spacing w:before="160" w:after="80"/>
      </w:pPr>
      <w:r>
        <w:rPr>
          <w:color w:val="EC5C25"/>
        </w:rPr>
        <w:t>Durante e após o evento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92"/>
        <w:gridCol w:w="2592"/>
        <w:gridCol w:w="2592"/>
        <w:gridCol w:w="2592"/>
      </w:tblGrid>
      <w:tr>
        <w:tc>
          <w:tcPr>
            <w:tcW w:type="dxa" w:w="648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7"/>
              </w:rPr>
              <w:t>OK</w:t>
            </w:r>
          </w:p>
        </w:tc>
        <w:tc>
          <w:tcPr>
            <w:tcW w:type="dxa" w:w="6336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7"/>
              </w:rPr>
              <w:t>Item</w:t>
            </w:r>
          </w:p>
        </w:tc>
        <w:tc>
          <w:tcPr>
            <w:tcW w:type="dxa" w:w="2160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7"/>
              </w:rPr>
              <w:t>Responsável</w:t>
            </w:r>
          </w:p>
        </w:tc>
        <w:tc>
          <w:tcPr>
            <w:tcW w:type="dxa" w:w="1440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7"/>
              </w:rPr>
              <w:t>Prazo</w:t>
            </w:r>
          </w:p>
        </w:tc>
      </w:tr>
      <w:tr>
        <w:tc>
          <w:tcPr>
            <w:tcW w:type="dxa" w:w="64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☐</w:t>
            </w:r>
          </w:p>
        </w:tc>
        <w:tc>
          <w:tcPr>
            <w:tcW w:type="dxa" w:w="633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Registrar evidências das entregas realizadas.</w:t>
            </w:r>
          </w:p>
        </w:tc>
        <w:tc>
          <w:tcPr>
            <w:tcW w:type="dxa" w:w="216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</w:tr>
      <w:tr>
        <w:tc>
          <w:tcPr>
            <w:tcW w:type="dxa" w:w="64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☐</w:t>
            </w:r>
          </w:p>
        </w:tc>
        <w:tc>
          <w:tcPr>
            <w:tcW w:type="dxa" w:w="633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Publicar conteúdos nas redes sociais da empresa usando os ativos contratados.</w:t>
            </w:r>
          </w:p>
        </w:tc>
        <w:tc>
          <w:tcPr>
            <w:tcW w:type="dxa" w:w="216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</w:tr>
      <w:tr>
        <w:tc>
          <w:tcPr>
            <w:tcW w:type="dxa" w:w="64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☐</w:t>
            </w:r>
          </w:p>
        </w:tc>
        <w:tc>
          <w:tcPr>
            <w:tcW w:type="dxa" w:w="633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Orientar equipe de estande sobre mensagens das ativações.</w:t>
            </w:r>
          </w:p>
        </w:tc>
        <w:tc>
          <w:tcPr>
            <w:tcW w:type="dxa" w:w="216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</w:tr>
      <w:tr>
        <w:tc>
          <w:tcPr>
            <w:tcW w:type="dxa" w:w="64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☐</w:t>
            </w:r>
          </w:p>
        </w:tc>
        <w:tc>
          <w:tcPr>
            <w:tcW w:type="dxa" w:w="633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Medir leads, reuniões e oportunidades relacionadas às ações.</w:t>
            </w:r>
          </w:p>
        </w:tc>
        <w:tc>
          <w:tcPr>
            <w:tcW w:type="dxa" w:w="216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</w:tr>
      <w:tr>
        <w:tc>
          <w:tcPr>
            <w:tcW w:type="dxa" w:w="648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☐</w:t>
            </w:r>
          </w:p>
        </w:tc>
        <w:tc>
          <w:tcPr>
            <w:tcW w:type="dxa" w:w="633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  <w:t>Consolidar resultados em relatório pós-evento.</w:t>
            </w:r>
          </w:p>
        </w:tc>
        <w:tc>
          <w:tcPr>
            <w:tcW w:type="dxa" w:w="216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  <w:tc>
          <w:tcPr>
            <w:tcW w:type="dxa" w:w="144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7"/>
              </w:rPr>
            </w:r>
          </w:p>
        </w:tc>
      </w:tr>
    </w:tbl>
    <w:p/>
    <w:p>
      <w:pPr>
        <w:pStyle w:val="Heading1"/>
        <w:spacing w:before="240" w:after="120"/>
      </w:pPr>
      <w:r>
        <w:rPr>
          <w:color w:val="162C48"/>
        </w:rPr>
        <w:t>8. KPIs recomendados</w:t>
      </w:r>
    </w:p>
    <w:p>
      <w:pPr>
        <w:pStyle w:val="BodyText"/>
        <w:spacing w:after="100"/>
      </w:pPr>
      <w:r>
        <w:t>Os indicadores devem variar conforme o objetivo. Ativos digitais permitem medir alcance e cliques com mais precisão. Ativos físicos devem ser conectados a indicadores de tráfego, leads, lembrança de marca e percepção comercial.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56"/>
        <w:gridCol w:w="3456"/>
        <w:gridCol w:w="3456"/>
      </w:tblGrid>
      <w:tr>
        <w:tc>
          <w:tcPr>
            <w:tcW w:type="dxa" w:w="1872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6"/>
              </w:rPr>
              <w:t>Objetivo</w:t>
            </w:r>
          </w:p>
        </w:tc>
        <w:tc>
          <w:tcPr>
            <w:tcW w:type="dxa" w:w="4896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6"/>
              </w:rPr>
              <w:t>KPIs sugeridos</w:t>
            </w:r>
          </w:p>
        </w:tc>
        <w:tc>
          <w:tcPr>
            <w:tcW w:type="dxa" w:w="3744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6"/>
              </w:rPr>
              <w:t>Fonte de dados</w:t>
            </w:r>
          </w:p>
        </w:tc>
      </w:tr>
      <w:tr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Awareness</w:t>
            </w:r>
          </w:p>
        </w:tc>
        <w:tc>
          <w:tcPr>
            <w:tcW w:type="dxa" w:w="48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Impressões, alcance, frequência, menções, crescimento de marca</w:t>
            </w:r>
          </w:p>
        </w:tc>
        <w:tc>
          <w:tcPr>
            <w:tcW w:type="dxa" w:w="374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Mídia digital, redes sociais, clipping, relatório do evento</w:t>
            </w:r>
          </w:p>
        </w:tc>
      </w:tr>
      <w:tr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Tráfego ao estande</w:t>
            </w:r>
          </w:p>
        </w:tc>
        <w:tc>
          <w:tcPr>
            <w:tcW w:type="dxa" w:w="48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Visitas, reuniões, demonstrações, QR Code scans, leads captados</w:t>
            </w:r>
          </w:p>
        </w:tc>
        <w:tc>
          <w:tcPr>
            <w:tcW w:type="dxa" w:w="374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Coletor de dados, agenda comercial, QR Codes, equipe do estande</w:t>
            </w:r>
          </w:p>
        </w:tc>
      </w:tr>
      <w:tr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Leads e conversão</w:t>
            </w:r>
          </w:p>
        </w:tc>
        <w:tc>
          <w:tcPr>
            <w:tcW w:type="dxa" w:w="48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Leads, leads qualificados, propostas, pipeline, vendas influenciadas</w:t>
            </w:r>
          </w:p>
        </w:tc>
        <w:tc>
          <w:tcPr>
            <w:tcW w:type="dxa" w:w="374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CRM, coletor, planilha comercial</w:t>
            </w:r>
          </w:p>
        </w:tc>
      </w:tr>
      <w:tr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Engajamento digital</w:t>
            </w:r>
          </w:p>
        </w:tc>
        <w:tc>
          <w:tcPr>
            <w:tcW w:type="dxa" w:w="48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Cliques, CTR, visitas à página do expositor, downloads, respostas</w:t>
            </w:r>
          </w:p>
        </w:tc>
        <w:tc>
          <w:tcPr>
            <w:tcW w:type="dxa" w:w="374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Site, e-mail marketing, analytics, automação</w:t>
            </w:r>
          </w:p>
        </w:tc>
      </w:tr>
      <w:tr>
        <w:tc>
          <w:tcPr>
            <w:tcW w:type="dxa" w:w="187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Relacionamento</w:t>
            </w:r>
          </w:p>
        </w:tc>
        <w:tc>
          <w:tcPr>
            <w:tcW w:type="dxa" w:w="4896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Clientes estratégicos recebidos, reuniões VIP, parceiros ativados</w:t>
            </w:r>
          </w:p>
        </w:tc>
        <w:tc>
          <w:tcPr>
            <w:tcW w:type="dxa" w:w="3744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Agenda, CRM, relatório comercial</w:t>
            </w:r>
          </w:p>
        </w:tc>
      </w:tr>
    </w:tbl>
    <w:p/>
    <w:p>
      <w:pPr>
        <w:pStyle w:val="Heading1"/>
        <w:spacing w:before="240" w:after="120"/>
      </w:pPr>
      <w:r>
        <w:rPr>
          <w:color w:val="162C48"/>
        </w:rPr>
        <w:t>9. Modelo de relatório pós-evento</w:t>
      </w:r>
    </w:p>
    <w:p>
      <w:pPr>
        <w:pStyle w:val="BodyText"/>
        <w:spacing w:after="100"/>
      </w:pPr>
      <w:r>
        <w:t>Use esta seção para apresentar os resultados do investimento e apoiar a decisão de renovação, ampliação ou ajuste para a próxima edição.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184"/>
        <w:gridCol w:w="5184"/>
      </w:tblGrid>
      <w:tr>
        <w:tc>
          <w:tcPr>
            <w:tcW w:type="dxa" w:w="4320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6"/>
              </w:rPr>
              <w:t>Indicador / análise</w:t>
            </w:r>
          </w:p>
        </w:tc>
        <w:tc>
          <w:tcPr>
            <w:tcW w:type="dxa" w:w="6192"/>
            <w:vAlign w:val="center"/>
            <w:shd w:fill="1F4E79"/>
          </w:tcPr>
          <w:p>
            <w:pPr>
              <w:spacing w:after="0"/>
            </w:pPr>
            <w:r/>
            <w:r>
              <w:rPr>
                <w:b/>
                <w:color w:val="FFFFFF"/>
                <w:sz w:val="16"/>
              </w:rPr>
              <w:t>Resultado</w:t>
            </w:r>
          </w:p>
        </w:tc>
      </w:tr>
      <w:tr>
        <w:tc>
          <w:tcPr>
            <w:tcW w:type="dxa" w:w="432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Investimento total em merchandising/patrocínio</w:t>
            </w:r>
          </w:p>
        </w:tc>
        <w:tc>
          <w:tcPr>
            <w:tcW w:type="dxa" w:w="619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</w:r>
          </w:p>
        </w:tc>
      </w:tr>
      <w:tr>
        <w:tc>
          <w:tcPr>
            <w:tcW w:type="dxa" w:w="432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Ativos contratados</w:t>
            </w:r>
          </w:p>
        </w:tc>
        <w:tc>
          <w:tcPr>
            <w:tcW w:type="dxa" w:w="619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</w:r>
          </w:p>
        </w:tc>
      </w:tr>
      <w:tr>
        <w:tc>
          <w:tcPr>
            <w:tcW w:type="dxa" w:w="432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Objetivo principal</w:t>
            </w:r>
          </w:p>
        </w:tc>
        <w:tc>
          <w:tcPr>
            <w:tcW w:type="dxa" w:w="619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</w:r>
          </w:p>
        </w:tc>
      </w:tr>
      <w:tr>
        <w:tc>
          <w:tcPr>
            <w:tcW w:type="dxa" w:w="432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Principais pontos da jornada impactados</w:t>
            </w:r>
          </w:p>
        </w:tc>
        <w:tc>
          <w:tcPr>
            <w:tcW w:type="dxa" w:w="619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</w:r>
          </w:p>
        </w:tc>
      </w:tr>
      <w:tr>
        <w:tc>
          <w:tcPr>
            <w:tcW w:type="dxa" w:w="432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Leads gerados no evento</w:t>
            </w:r>
          </w:p>
        </w:tc>
        <w:tc>
          <w:tcPr>
            <w:tcW w:type="dxa" w:w="619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</w:r>
          </w:p>
        </w:tc>
      </w:tr>
      <w:tr>
        <w:tc>
          <w:tcPr>
            <w:tcW w:type="dxa" w:w="432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Leads qualificados</w:t>
            </w:r>
          </w:p>
        </w:tc>
        <w:tc>
          <w:tcPr>
            <w:tcW w:type="dxa" w:w="619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</w:r>
          </w:p>
        </w:tc>
      </w:tr>
      <w:tr>
        <w:tc>
          <w:tcPr>
            <w:tcW w:type="dxa" w:w="432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Reuniões realizadas</w:t>
            </w:r>
          </w:p>
        </w:tc>
        <w:tc>
          <w:tcPr>
            <w:tcW w:type="dxa" w:w="619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</w:r>
          </w:p>
        </w:tc>
      </w:tr>
      <w:tr>
        <w:tc>
          <w:tcPr>
            <w:tcW w:type="dxa" w:w="432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Propostas comerciais geradas</w:t>
            </w:r>
          </w:p>
        </w:tc>
        <w:tc>
          <w:tcPr>
            <w:tcW w:type="dxa" w:w="619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</w:r>
          </w:p>
        </w:tc>
      </w:tr>
      <w:tr>
        <w:tc>
          <w:tcPr>
            <w:tcW w:type="dxa" w:w="432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Pipeline influenciado</w:t>
            </w:r>
          </w:p>
        </w:tc>
        <w:tc>
          <w:tcPr>
            <w:tcW w:type="dxa" w:w="619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</w:r>
          </w:p>
        </w:tc>
      </w:tr>
      <w:tr>
        <w:tc>
          <w:tcPr>
            <w:tcW w:type="dxa" w:w="432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Vendas fechadas ou previstas</w:t>
            </w:r>
          </w:p>
        </w:tc>
        <w:tc>
          <w:tcPr>
            <w:tcW w:type="dxa" w:w="619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</w:r>
          </w:p>
        </w:tc>
      </w:tr>
      <w:tr>
        <w:tc>
          <w:tcPr>
            <w:tcW w:type="dxa" w:w="432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Percepção da equipe comercial</w:t>
            </w:r>
          </w:p>
        </w:tc>
        <w:tc>
          <w:tcPr>
            <w:tcW w:type="dxa" w:w="619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</w:r>
          </w:p>
        </w:tc>
      </w:tr>
      <w:tr>
        <w:tc>
          <w:tcPr>
            <w:tcW w:type="dxa" w:w="4320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  <w:t>Aprendizados para a próxima edição</w:t>
            </w:r>
          </w:p>
        </w:tc>
        <w:tc>
          <w:tcPr>
            <w:tcW w:type="dxa" w:w="6192"/>
            <w:vAlign w:val="center"/>
            <w:shd w:fill="FFFFFF"/>
          </w:tcPr>
          <w:p>
            <w:pPr>
              <w:spacing w:after="0"/>
            </w:pPr>
            <w:r/>
            <w:r>
              <w:rPr>
                <w:b w:val="0"/>
                <w:sz w:val="16"/>
              </w:rPr>
            </w:r>
          </w:p>
        </w:tc>
      </w:tr>
    </w:tbl>
    <w:p/>
    <w:p>
      <w:pPr>
        <w:pStyle w:val="Heading1"/>
        <w:spacing w:before="240" w:after="120"/>
      </w:pPr>
      <w:r>
        <w:rPr>
          <w:color w:val="162C48"/>
        </w:rPr>
        <w:t>10. Observações finais</w:t>
      </w:r>
    </w:p>
    <w:p>
      <w:pPr>
        <w:pStyle w:val="BodyText"/>
        <w:spacing w:after="100"/>
      </w:pPr>
      <w:r>
        <w:t>Merchandising e patrocínio devem ser planejados como uma extensão estratégica do estande. Quando bem utilizados, esses ativos ampliam a presença da marca, ajudam o visitante a encontrar a empresa, fortalecem a lembrança e aumentam as chances de geração de negócios.</w:t>
      </w:r>
    </w:p>
    <w:p>
      <w:pPr>
        <w:pStyle w:val="BodyText"/>
        <w:spacing w:after="100"/>
      </w:pPr>
      <w:r>
        <w:t>O ideal é combinar impacto digital, presença física e continuidade pós-evento. Assim, o expositor deixa de aparecer apenas durante os dias da feira e passa a acompanhar o visitante em toda a sua jornada.</w:t>
      </w:r>
    </w:p>
    <w:sectPr w:rsidR="00FC693F" w:rsidRPr="0006063C" w:rsidSect="00034616">
      <w:footerReference w:type="default" r:id="rId9"/>
      <w:pgSz w:w="12240" w:h="15840"/>
      <w:pgMar w:top="864" w:right="936" w:bottom="864" w:left="93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4B5563"/>
        <w:sz w:val="16"/>
      </w:rPr>
      <w:t>Fiera Milano Brasil | Modelo de apoio ao expositor | Merchandising e Patrocínio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365F91" w:themeColor="accent1" w:themeShade="BF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4F81BD" w:themeColor="accent1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  <w:rPr>
      <w:rFonts w:ascii="Arial" w:hAnsi="Arial"/>
      <w:sz w:val="19"/>
    </w:r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